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27B" w:rsidRPr="0087127B" w:rsidRDefault="0087127B" w:rsidP="00081FFF">
      <w:pPr>
        <w:rPr>
          <w:sz w:val="24"/>
          <w:lang w:val="es-MX"/>
        </w:rPr>
      </w:pPr>
    </w:p>
    <w:p w:rsidR="00DD7F28" w:rsidRDefault="00DD7F28" w:rsidP="0087127B">
      <w:pPr>
        <w:jc w:val="center"/>
        <w:rPr>
          <w:rFonts w:ascii="Times New Roman" w:hAnsi="Times New Roman"/>
          <w:b/>
          <w:sz w:val="24"/>
          <w:szCs w:val="24"/>
          <w:u w:val="single"/>
        </w:rPr>
      </w:pPr>
      <w:bookmarkStart w:id="0" w:name="PResolución"/>
      <w:bookmarkEnd w:id="0"/>
    </w:p>
    <w:p w:rsidR="0087127B" w:rsidRPr="00712E64" w:rsidRDefault="0087127B" w:rsidP="0087127B">
      <w:pPr>
        <w:jc w:val="center"/>
        <w:rPr>
          <w:rFonts w:ascii="Times New Roman" w:hAnsi="Times New Roman"/>
          <w:b/>
          <w:sz w:val="24"/>
          <w:szCs w:val="24"/>
          <w:u w:val="single"/>
        </w:rPr>
      </w:pPr>
      <w:r w:rsidRPr="00712E64">
        <w:rPr>
          <w:rFonts w:ascii="Times New Roman" w:hAnsi="Times New Roman"/>
          <w:b/>
          <w:sz w:val="24"/>
          <w:szCs w:val="24"/>
          <w:u w:val="single"/>
        </w:rPr>
        <w:t>PROYECTO DE RESOLUCIÓN</w:t>
      </w:r>
    </w:p>
    <w:p w:rsidR="0087127B" w:rsidRPr="00712E64" w:rsidRDefault="0087127B" w:rsidP="0087127B">
      <w:pPr>
        <w:rPr>
          <w:rFonts w:ascii="Times New Roman" w:hAnsi="Times New Roman"/>
          <w:sz w:val="24"/>
          <w:szCs w:val="24"/>
        </w:rPr>
      </w:pPr>
    </w:p>
    <w:p w:rsidR="0087127B" w:rsidRDefault="0087127B" w:rsidP="0087127B">
      <w:pPr>
        <w:spacing w:line="360" w:lineRule="auto"/>
        <w:jc w:val="both"/>
        <w:rPr>
          <w:rFonts w:ascii="Times New Roman" w:hAnsi="Times New Roman"/>
          <w:sz w:val="24"/>
          <w:szCs w:val="24"/>
        </w:rPr>
      </w:pPr>
      <w:r w:rsidRPr="00712E64">
        <w:rPr>
          <w:rFonts w:ascii="Times New Roman" w:hAnsi="Times New Roman"/>
          <w:b/>
          <w:sz w:val="24"/>
          <w:szCs w:val="24"/>
        </w:rPr>
        <w:t>Artículo 1°:</w:t>
      </w:r>
      <w:r w:rsidRPr="00712E64">
        <w:rPr>
          <w:rFonts w:ascii="Times New Roman" w:hAnsi="Times New Roman"/>
          <w:sz w:val="24"/>
          <w:szCs w:val="24"/>
        </w:rPr>
        <w:t xml:space="preserve"> El Poder Ejecutivo debe informar, a través de los organismos correspondientes, dentro de los treinta (30) días de recibida la presente, sobre los siguientes puntos relacionados c</w:t>
      </w:r>
      <w:r>
        <w:rPr>
          <w:rFonts w:ascii="Times New Roman" w:hAnsi="Times New Roman"/>
          <w:sz w:val="24"/>
          <w:szCs w:val="24"/>
        </w:rPr>
        <w:t>on las villas y los núcleos habitacionales transitorios</w:t>
      </w:r>
      <w:r w:rsidRPr="00712E64">
        <w:rPr>
          <w:rFonts w:ascii="Times New Roman" w:hAnsi="Times New Roman"/>
          <w:sz w:val="24"/>
          <w:szCs w:val="24"/>
        </w:rPr>
        <w:t>:</w:t>
      </w:r>
    </w:p>
    <w:p w:rsidR="0087127B" w:rsidRDefault="0087127B" w:rsidP="0087127B">
      <w:pPr>
        <w:spacing w:line="360" w:lineRule="auto"/>
        <w:jc w:val="both"/>
        <w:rPr>
          <w:rFonts w:ascii="Times New Roman" w:hAnsi="Times New Roman"/>
          <w:sz w:val="24"/>
          <w:szCs w:val="24"/>
        </w:rPr>
      </w:pPr>
      <w:r>
        <w:rPr>
          <w:rFonts w:ascii="Times New Roman" w:hAnsi="Times New Roman"/>
          <w:sz w:val="24"/>
          <w:szCs w:val="24"/>
        </w:rPr>
        <w:t xml:space="preserve">1) </w:t>
      </w:r>
      <w:r w:rsidRPr="001C3259">
        <w:rPr>
          <w:rFonts w:ascii="Times New Roman" w:hAnsi="Times New Roman"/>
          <w:sz w:val="24"/>
          <w:szCs w:val="24"/>
        </w:rPr>
        <w:t xml:space="preserve">Acciones realizadas por la Comisión Coordinadora Participativa durante los años 2014 y 2015 para el diagnóstico, propuesta, planificación </w:t>
      </w:r>
      <w:r>
        <w:rPr>
          <w:rFonts w:ascii="Times New Roman" w:hAnsi="Times New Roman"/>
          <w:sz w:val="24"/>
          <w:szCs w:val="24"/>
        </w:rPr>
        <w:t xml:space="preserve">y seguimiento de las políticas sociales habitacionales desarrolladas a los fines de lograr la radicación y transformación definitiva de las villas y núcleos habitacionales transitorios. </w:t>
      </w:r>
    </w:p>
    <w:p w:rsidR="0087127B" w:rsidRDefault="0087127B" w:rsidP="0087127B">
      <w:pPr>
        <w:spacing w:line="360" w:lineRule="auto"/>
        <w:jc w:val="both"/>
        <w:rPr>
          <w:rFonts w:ascii="Times New Roman" w:hAnsi="Times New Roman"/>
          <w:sz w:val="24"/>
          <w:szCs w:val="24"/>
        </w:rPr>
      </w:pPr>
      <w:r>
        <w:rPr>
          <w:rFonts w:ascii="Times New Roman" w:hAnsi="Times New Roman"/>
          <w:sz w:val="24"/>
          <w:szCs w:val="24"/>
        </w:rPr>
        <w:t xml:space="preserve">2) Remita estadísticas actualizadas en donde se informe la población y la cantidad de viviendas existentes en villas y núcleos habitacionales transitorios en la Ciudad de Buenos Aires. </w:t>
      </w:r>
    </w:p>
    <w:p w:rsidR="0087127B" w:rsidRDefault="0087127B" w:rsidP="0087127B">
      <w:pPr>
        <w:spacing w:line="360" w:lineRule="auto"/>
        <w:jc w:val="both"/>
        <w:rPr>
          <w:rFonts w:ascii="Times New Roman" w:hAnsi="Times New Roman"/>
          <w:sz w:val="24"/>
          <w:szCs w:val="24"/>
        </w:rPr>
      </w:pPr>
      <w:r>
        <w:rPr>
          <w:rFonts w:ascii="Times New Roman" w:hAnsi="Times New Roman"/>
          <w:sz w:val="24"/>
          <w:szCs w:val="24"/>
        </w:rPr>
        <w:t xml:space="preserve">3) Obras ejecutadas en los años 2014 y 2015 en villas y núcleos habitacionales transitorios. Especifique en que asentamientos precarios fueron realizadas las obras, en que consistieron las mismas y cuál fue el criterio de elección utilizado. </w:t>
      </w:r>
    </w:p>
    <w:p w:rsidR="0087127B" w:rsidRDefault="0087127B" w:rsidP="0087127B">
      <w:pPr>
        <w:spacing w:line="360" w:lineRule="auto"/>
        <w:jc w:val="both"/>
        <w:rPr>
          <w:rFonts w:ascii="Times New Roman" w:hAnsi="Times New Roman"/>
          <w:sz w:val="24"/>
          <w:szCs w:val="24"/>
        </w:rPr>
      </w:pPr>
      <w:r>
        <w:rPr>
          <w:rFonts w:ascii="Times New Roman" w:hAnsi="Times New Roman"/>
          <w:sz w:val="24"/>
          <w:szCs w:val="24"/>
        </w:rPr>
        <w:t xml:space="preserve">4)   Si en los años 2014 y 2015 se han suscripto convenios con cooperativas de trabajo a los fines de realizar obras en villas o núcleos habitacionales transitorios. En caso afirmativo, informe el criterio utilizado para la elección de las cooperativas y remita los listados de quienes fueron los asociados que trabajaron en las obras. </w:t>
      </w:r>
    </w:p>
    <w:p w:rsidR="0087127B" w:rsidRDefault="0087127B" w:rsidP="0087127B">
      <w:pPr>
        <w:spacing w:line="360" w:lineRule="auto"/>
        <w:jc w:val="both"/>
        <w:rPr>
          <w:rFonts w:ascii="Times New Roman" w:hAnsi="Times New Roman"/>
          <w:sz w:val="24"/>
          <w:szCs w:val="24"/>
        </w:rPr>
      </w:pPr>
      <w:r>
        <w:rPr>
          <w:rFonts w:ascii="Times New Roman" w:hAnsi="Times New Roman"/>
          <w:sz w:val="24"/>
          <w:szCs w:val="24"/>
        </w:rPr>
        <w:t xml:space="preserve">5) Indique los mecanismos de selección del contratante se han utilizado para las todas las obras realizadas en los años 2014 y 2015 en las villas o núcleos habitacionales transitorios. En caso de no haberse utilizado los procedimientos previstos en las leyes 2.095 de Compras y Contrataciones de la Ciudad y 13.064 de Obras Públicas de la Nación, enumere las obras en las que se utilizaron procedimientos de excepción, y los motivos por los cuales se contrató de esa forma. En estos últimos casos, remita los actos administrativos que autorizaron esa forma de contratación.   </w:t>
      </w:r>
    </w:p>
    <w:p w:rsidR="0087127B" w:rsidRPr="003A2DDB" w:rsidRDefault="0087127B" w:rsidP="0087127B">
      <w:pPr>
        <w:spacing w:line="360" w:lineRule="auto"/>
        <w:jc w:val="both"/>
        <w:rPr>
          <w:rFonts w:ascii="Times New Roman" w:hAnsi="Times New Roman"/>
          <w:sz w:val="24"/>
          <w:szCs w:val="24"/>
        </w:rPr>
      </w:pPr>
      <w:r>
        <w:rPr>
          <w:rFonts w:ascii="Times New Roman" w:hAnsi="Times New Roman"/>
          <w:b/>
          <w:sz w:val="24"/>
          <w:szCs w:val="24"/>
        </w:rPr>
        <w:t xml:space="preserve">Artículo 2°: </w:t>
      </w:r>
      <w:r>
        <w:rPr>
          <w:rFonts w:ascii="Times New Roman" w:hAnsi="Times New Roman"/>
          <w:sz w:val="24"/>
          <w:szCs w:val="24"/>
        </w:rPr>
        <w:t xml:space="preserve">De forma. </w:t>
      </w:r>
    </w:p>
    <w:p w:rsidR="0087127B" w:rsidRDefault="0087127B" w:rsidP="0087127B">
      <w:pPr>
        <w:spacing w:line="360" w:lineRule="auto"/>
        <w:jc w:val="both"/>
        <w:rPr>
          <w:rFonts w:ascii="Times New Roman" w:hAnsi="Times New Roman"/>
          <w:sz w:val="24"/>
          <w:szCs w:val="24"/>
        </w:rPr>
      </w:pPr>
    </w:p>
    <w:p w:rsidR="0087127B" w:rsidRDefault="0087127B" w:rsidP="0087127B">
      <w:pPr>
        <w:spacing w:line="360" w:lineRule="auto"/>
        <w:jc w:val="both"/>
        <w:rPr>
          <w:rFonts w:ascii="Times New Roman" w:hAnsi="Times New Roman"/>
          <w:sz w:val="24"/>
          <w:szCs w:val="24"/>
        </w:rPr>
      </w:pPr>
    </w:p>
    <w:p w:rsidR="0087127B" w:rsidRDefault="0087127B" w:rsidP="0087127B">
      <w:pPr>
        <w:spacing w:line="360" w:lineRule="auto"/>
        <w:jc w:val="both"/>
        <w:rPr>
          <w:rFonts w:ascii="Times New Roman" w:hAnsi="Times New Roman"/>
          <w:sz w:val="24"/>
          <w:szCs w:val="24"/>
        </w:rPr>
      </w:pPr>
    </w:p>
    <w:p w:rsidR="0087127B" w:rsidRDefault="0087127B" w:rsidP="0087127B">
      <w:pPr>
        <w:spacing w:line="360" w:lineRule="auto"/>
        <w:jc w:val="both"/>
        <w:rPr>
          <w:rFonts w:ascii="Times New Roman" w:hAnsi="Times New Roman"/>
          <w:sz w:val="24"/>
          <w:szCs w:val="24"/>
        </w:rPr>
      </w:pPr>
    </w:p>
    <w:p w:rsidR="0087127B" w:rsidRDefault="0087127B" w:rsidP="0087127B">
      <w:pPr>
        <w:spacing w:line="360" w:lineRule="auto"/>
        <w:jc w:val="center"/>
        <w:rPr>
          <w:rFonts w:ascii="Times New Roman" w:hAnsi="Times New Roman"/>
          <w:b/>
          <w:sz w:val="24"/>
          <w:szCs w:val="24"/>
          <w:u w:val="single"/>
        </w:rPr>
      </w:pPr>
    </w:p>
    <w:p w:rsidR="0087127B" w:rsidRDefault="0087127B" w:rsidP="0087127B">
      <w:pPr>
        <w:spacing w:line="360" w:lineRule="auto"/>
        <w:jc w:val="center"/>
        <w:rPr>
          <w:rFonts w:ascii="Times New Roman" w:hAnsi="Times New Roman"/>
          <w:b/>
          <w:sz w:val="24"/>
          <w:szCs w:val="24"/>
          <w:u w:val="single"/>
        </w:rPr>
      </w:pPr>
      <w:r>
        <w:rPr>
          <w:rFonts w:ascii="Times New Roman" w:hAnsi="Times New Roman"/>
          <w:b/>
          <w:sz w:val="24"/>
          <w:szCs w:val="24"/>
          <w:u w:val="single"/>
        </w:rPr>
        <w:t>FUNDAMENTOS</w:t>
      </w:r>
    </w:p>
    <w:p w:rsidR="0087127B" w:rsidRDefault="0087127B" w:rsidP="0087127B">
      <w:pPr>
        <w:spacing w:line="360" w:lineRule="auto"/>
        <w:jc w:val="both"/>
        <w:rPr>
          <w:rFonts w:ascii="Times New Roman" w:hAnsi="Times New Roman"/>
          <w:sz w:val="24"/>
          <w:szCs w:val="24"/>
        </w:rPr>
      </w:pPr>
      <w:r>
        <w:rPr>
          <w:rFonts w:ascii="Times New Roman" w:hAnsi="Times New Roman"/>
          <w:sz w:val="24"/>
          <w:szCs w:val="24"/>
        </w:rPr>
        <w:t xml:space="preserve">Señor Presidente: </w:t>
      </w:r>
    </w:p>
    <w:p w:rsidR="0087127B" w:rsidRDefault="0087127B" w:rsidP="0087127B">
      <w:pPr>
        <w:spacing w:line="360" w:lineRule="auto"/>
        <w:jc w:val="both"/>
        <w:rPr>
          <w:rFonts w:ascii="Times New Roman" w:hAnsi="Times New Roman"/>
          <w:sz w:val="24"/>
          <w:szCs w:val="24"/>
        </w:rPr>
      </w:pPr>
      <w:r>
        <w:rPr>
          <w:rFonts w:ascii="Times New Roman" w:hAnsi="Times New Roman"/>
          <w:sz w:val="24"/>
          <w:szCs w:val="24"/>
        </w:rPr>
        <w:tab/>
        <w:t xml:space="preserve">El </w:t>
      </w:r>
      <w:r w:rsidRPr="00F51A1C">
        <w:rPr>
          <w:rFonts w:ascii="Times New Roman" w:hAnsi="Times New Roman"/>
          <w:b/>
          <w:sz w:val="24"/>
          <w:szCs w:val="24"/>
        </w:rPr>
        <w:t>artículo 31 de la Constitución de la Ciudad de Buenos Aires</w:t>
      </w:r>
      <w:r>
        <w:rPr>
          <w:rFonts w:ascii="Times New Roman" w:hAnsi="Times New Roman"/>
          <w:sz w:val="24"/>
          <w:szCs w:val="24"/>
        </w:rPr>
        <w:t xml:space="preserve"> determina que la Ciudad reconoce el derecho a una vivienda digna y a un hábitat adecuado y que se debe resolver de manera progresiva el déficit habitacional, de infraestructura y servicios, dando prioridad a las personas que integran los sectores de la pobreza crítica y con necesidades especiales de escasos recursos. </w:t>
      </w:r>
    </w:p>
    <w:p w:rsidR="0087127B" w:rsidRDefault="0087127B" w:rsidP="0087127B">
      <w:pPr>
        <w:spacing w:line="360" w:lineRule="auto"/>
        <w:jc w:val="both"/>
        <w:rPr>
          <w:rFonts w:ascii="Times New Roman" w:hAnsi="Times New Roman"/>
          <w:sz w:val="24"/>
          <w:szCs w:val="24"/>
        </w:rPr>
      </w:pPr>
      <w:r>
        <w:rPr>
          <w:rFonts w:ascii="Times New Roman" w:hAnsi="Times New Roman"/>
          <w:sz w:val="24"/>
          <w:szCs w:val="24"/>
        </w:rPr>
        <w:tab/>
        <w:t xml:space="preserve">En consonancia con la manda constitucional, en el año 1998, esta Legislatura sancionó la </w:t>
      </w:r>
      <w:r w:rsidRPr="00F51A1C">
        <w:rPr>
          <w:rFonts w:ascii="Times New Roman" w:hAnsi="Times New Roman"/>
          <w:b/>
          <w:sz w:val="24"/>
          <w:szCs w:val="24"/>
        </w:rPr>
        <w:t>ley 148</w:t>
      </w:r>
      <w:r>
        <w:rPr>
          <w:rFonts w:ascii="Times New Roman" w:hAnsi="Times New Roman"/>
          <w:sz w:val="24"/>
          <w:szCs w:val="24"/>
        </w:rPr>
        <w:t xml:space="preserve"> que declaró de atención prioritaria a la problemática social y habitacional en las villas y núcleos habitacionales transitorios, además de crear la Comisión Coordinadora Participativa como un organismo con distintas funciones entre las que se destaca la de realizar el diagnóstico, propuesta, planificación, y seguimiento de la ejecución de las políticas sociales habitacionales que tienen que desarrollarse en el marco de esta norma.  </w:t>
      </w:r>
    </w:p>
    <w:p w:rsidR="0087127B" w:rsidRDefault="0087127B" w:rsidP="0087127B">
      <w:pPr>
        <w:spacing w:line="360" w:lineRule="auto"/>
        <w:jc w:val="both"/>
        <w:rPr>
          <w:rFonts w:ascii="Times New Roman" w:hAnsi="Times New Roman"/>
          <w:sz w:val="24"/>
          <w:szCs w:val="24"/>
        </w:rPr>
      </w:pPr>
      <w:r>
        <w:rPr>
          <w:rFonts w:ascii="Times New Roman" w:hAnsi="Times New Roman"/>
          <w:sz w:val="24"/>
          <w:szCs w:val="24"/>
        </w:rPr>
        <w:tab/>
        <w:t xml:space="preserve">Cabe destacar que la </w:t>
      </w:r>
      <w:r w:rsidRPr="002A3894">
        <w:rPr>
          <w:rFonts w:ascii="Times New Roman" w:hAnsi="Times New Roman"/>
          <w:b/>
          <w:sz w:val="24"/>
          <w:szCs w:val="24"/>
        </w:rPr>
        <w:t>ley 148</w:t>
      </w:r>
      <w:r>
        <w:rPr>
          <w:rFonts w:ascii="Times New Roman" w:hAnsi="Times New Roman"/>
          <w:sz w:val="24"/>
          <w:szCs w:val="24"/>
        </w:rPr>
        <w:t xml:space="preserve"> determina que la Comisión Coordinadora Participativa tiene como una de sus funciones fundamentales el diseño de los lineamientos generales de un programa integral de radicación y transformación definitiva de las villas que debe contemplar su </w:t>
      </w:r>
      <w:r w:rsidRPr="00F54146">
        <w:rPr>
          <w:rFonts w:ascii="Times New Roman" w:hAnsi="Times New Roman"/>
          <w:b/>
          <w:sz w:val="24"/>
          <w:szCs w:val="24"/>
        </w:rPr>
        <w:t>urbanización integral e integración</w:t>
      </w:r>
      <w:r>
        <w:rPr>
          <w:rFonts w:ascii="Times New Roman" w:hAnsi="Times New Roman"/>
          <w:sz w:val="24"/>
          <w:szCs w:val="24"/>
        </w:rPr>
        <w:t xml:space="preserve"> al tejido social, urbano y cultural de la ciudad, mediante la apertura de calles, el desarrollo de infraestructura de servicios, la regularización parcelaria y el fortalecimiento de la infraestructura y la recuperación de las áreas urbanas adyacentes. </w:t>
      </w:r>
    </w:p>
    <w:p w:rsidR="0087127B" w:rsidRDefault="0087127B" w:rsidP="0087127B">
      <w:pPr>
        <w:spacing w:line="360" w:lineRule="auto"/>
        <w:jc w:val="both"/>
        <w:rPr>
          <w:rFonts w:ascii="Times New Roman" w:hAnsi="Times New Roman"/>
          <w:sz w:val="24"/>
          <w:szCs w:val="24"/>
        </w:rPr>
      </w:pPr>
      <w:r>
        <w:rPr>
          <w:rFonts w:ascii="Times New Roman" w:hAnsi="Times New Roman"/>
          <w:sz w:val="24"/>
          <w:szCs w:val="24"/>
        </w:rPr>
        <w:tab/>
        <w:t xml:space="preserve">En el mismo sentido, con el correr de los años la Legislatura Porteña también sancionó diversas normas destinadas a urbanizar diferentes asentamientos precarios ubicados en nuestra ciudad. Sólo a modo de ejemplo se puede citar la </w:t>
      </w:r>
      <w:r w:rsidRPr="002A3894">
        <w:rPr>
          <w:rFonts w:ascii="Times New Roman" w:hAnsi="Times New Roman"/>
          <w:b/>
          <w:sz w:val="24"/>
          <w:szCs w:val="24"/>
        </w:rPr>
        <w:t>ley 403</w:t>
      </w:r>
      <w:r>
        <w:rPr>
          <w:rFonts w:ascii="Times New Roman" w:hAnsi="Times New Roman"/>
          <w:sz w:val="24"/>
          <w:szCs w:val="24"/>
        </w:rPr>
        <w:t xml:space="preserve"> - aprobada en 2000 -, que creó</w:t>
      </w:r>
      <w:r w:rsidRPr="00060A6A">
        <w:rPr>
          <w:rFonts w:ascii="Times New Roman" w:hAnsi="Times New Roman"/>
          <w:sz w:val="24"/>
          <w:szCs w:val="24"/>
        </w:rPr>
        <w:t xml:space="preserve"> el Programa de Planeamiento y Gestión Parti</w:t>
      </w:r>
      <w:r>
        <w:rPr>
          <w:rFonts w:ascii="Times New Roman" w:hAnsi="Times New Roman"/>
          <w:sz w:val="24"/>
          <w:szCs w:val="24"/>
        </w:rPr>
        <w:t xml:space="preserve">cipativo de la Villa 1-11-14 </w:t>
      </w:r>
      <w:r w:rsidRPr="00060A6A">
        <w:rPr>
          <w:rFonts w:ascii="Times New Roman" w:hAnsi="Times New Roman"/>
          <w:sz w:val="24"/>
          <w:szCs w:val="24"/>
        </w:rPr>
        <w:t xml:space="preserve"> para ejecutar el Plan Integral de Urbanización</w:t>
      </w:r>
      <w:r>
        <w:rPr>
          <w:rFonts w:ascii="Times New Roman" w:hAnsi="Times New Roman"/>
          <w:sz w:val="24"/>
          <w:szCs w:val="24"/>
        </w:rPr>
        <w:t xml:space="preserve">; y la </w:t>
      </w:r>
      <w:r w:rsidRPr="002A3894">
        <w:rPr>
          <w:rFonts w:ascii="Times New Roman" w:hAnsi="Times New Roman"/>
          <w:b/>
          <w:sz w:val="24"/>
          <w:szCs w:val="24"/>
        </w:rPr>
        <w:t>ley 1.770</w:t>
      </w:r>
      <w:r>
        <w:rPr>
          <w:rFonts w:ascii="Times New Roman" w:hAnsi="Times New Roman"/>
          <w:sz w:val="24"/>
          <w:szCs w:val="24"/>
        </w:rPr>
        <w:t xml:space="preserve"> – sancionada en 2005 – que tuvo como objeto la urbanización de la Villa 20.  </w:t>
      </w:r>
    </w:p>
    <w:p w:rsidR="0087127B" w:rsidRDefault="0087127B" w:rsidP="0087127B">
      <w:pPr>
        <w:spacing w:line="360" w:lineRule="auto"/>
        <w:jc w:val="both"/>
        <w:rPr>
          <w:rFonts w:ascii="Times New Roman" w:hAnsi="Times New Roman"/>
          <w:sz w:val="24"/>
          <w:szCs w:val="24"/>
        </w:rPr>
      </w:pPr>
      <w:r>
        <w:rPr>
          <w:rFonts w:ascii="Times New Roman" w:hAnsi="Times New Roman"/>
          <w:sz w:val="24"/>
          <w:szCs w:val="24"/>
        </w:rPr>
        <w:tab/>
        <w:t xml:space="preserve">De acuerdo a la reseña normativa realizada, el presente Proyecto de Resolución tiene como objeto recabar informes respecto a diferentes cuestiones vinculadas a la situación actual en las villas o núcleos habitacionales transitorios, tal es la terminología utilizada por la normativa vigente en la Ciudad. </w:t>
      </w:r>
    </w:p>
    <w:p w:rsidR="0087127B" w:rsidRDefault="0087127B" w:rsidP="0087127B">
      <w:pPr>
        <w:spacing w:line="360" w:lineRule="auto"/>
        <w:jc w:val="both"/>
        <w:rPr>
          <w:rFonts w:ascii="Times New Roman" w:hAnsi="Times New Roman"/>
          <w:sz w:val="24"/>
          <w:szCs w:val="24"/>
        </w:rPr>
      </w:pPr>
      <w:r>
        <w:rPr>
          <w:rFonts w:ascii="Times New Roman" w:hAnsi="Times New Roman"/>
          <w:sz w:val="24"/>
          <w:szCs w:val="24"/>
        </w:rPr>
        <w:lastRenderedPageBreak/>
        <w:tab/>
        <w:t>De esta manera, en primer término se requieren informes respecto</w:t>
      </w:r>
      <w:r>
        <w:rPr>
          <w:rFonts w:ascii="Times New Roman" w:hAnsi="Times New Roman"/>
          <w:sz w:val="24"/>
          <w:szCs w:val="24"/>
        </w:rPr>
        <w:tab/>
        <w:t xml:space="preserve"> a las acciones realizadas en los años 2014 y 2015 por la Comisión Coordinadora Participativa a los fines de realizar el diagnóstico, </w:t>
      </w:r>
      <w:r w:rsidRPr="00AF5FFF">
        <w:rPr>
          <w:rFonts w:ascii="Times New Roman" w:hAnsi="Times New Roman"/>
          <w:sz w:val="24"/>
          <w:szCs w:val="24"/>
        </w:rPr>
        <w:t>planificación y seguimiento de las políticas sociales habitacionales desarrolladas a los fines de lograr la radicación y transformación definitiva de las villas.</w:t>
      </w:r>
      <w:r>
        <w:rPr>
          <w:rFonts w:ascii="Times New Roman" w:hAnsi="Times New Roman"/>
          <w:sz w:val="24"/>
          <w:szCs w:val="24"/>
        </w:rPr>
        <w:t xml:space="preserve"> Tal como se señaló de manera precedente, esta Comisión fue creada por la ley 148 y tiene diversas funciones, entre las que se destaca el seguimiento de la urbanización de las villas en la Ciudad Autónoma de Buenos Aires. </w:t>
      </w:r>
    </w:p>
    <w:p w:rsidR="0087127B" w:rsidRDefault="0087127B" w:rsidP="0087127B">
      <w:pPr>
        <w:spacing w:line="360" w:lineRule="auto"/>
        <w:jc w:val="both"/>
        <w:rPr>
          <w:rFonts w:ascii="Times New Roman" w:hAnsi="Times New Roman"/>
          <w:sz w:val="24"/>
          <w:szCs w:val="24"/>
        </w:rPr>
      </w:pPr>
      <w:r>
        <w:rPr>
          <w:rFonts w:ascii="Times New Roman" w:hAnsi="Times New Roman"/>
          <w:sz w:val="24"/>
          <w:szCs w:val="24"/>
        </w:rPr>
        <w:tab/>
        <w:t xml:space="preserve">También se solicita que se remitan  estadísticas actualizadas de la población, la cantidad de viviendas y que se informen las obras ejecutadas en 2014 y 2015 en las villas o núcleos habitacionales transitorios, y que se indique, respecto a estas últimas, en que consistieron las mismas. </w:t>
      </w:r>
    </w:p>
    <w:p w:rsidR="0087127B" w:rsidRDefault="0087127B" w:rsidP="0087127B">
      <w:pPr>
        <w:spacing w:line="360" w:lineRule="auto"/>
        <w:jc w:val="both"/>
        <w:rPr>
          <w:rFonts w:ascii="Times New Roman" w:hAnsi="Times New Roman"/>
          <w:sz w:val="24"/>
          <w:szCs w:val="24"/>
        </w:rPr>
      </w:pPr>
      <w:r>
        <w:rPr>
          <w:rFonts w:ascii="Times New Roman" w:hAnsi="Times New Roman"/>
          <w:sz w:val="24"/>
          <w:szCs w:val="24"/>
        </w:rPr>
        <w:tab/>
        <w:t>Por otro lado, también se requieren informes derivados de observaciones realizadas por la Auditoría General de la Ciudad de Buenos Aires en el Informe Final de Auditoría 4.13.08</w:t>
      </w:r>
      <w:r w:rsidRPr="004118DE">
        <w:rPr>
          <w:rFonts w:ascii="Times New Roman" w:hAnsi="Times New Roman"/>
          <w:b/>
          <w:sz w:val="24"/>
          <w:szCs w:val="24"/>
        </w:rPr>
        <w:t xml:space="preserve"> “Unidad de Gestión de Intervención Social. Auditoría de Gestión”</w:t>
      </w:r>
      <w:r>
        <w:rPr>
          <w:rFonts w:ascii="Times New Roman" w:hAnsi="Times New Roman"/>
          <w:sz w:val="24"/>
          <w:szCs w:val="24"/>
        </w:rPr>
        <w:t xml:space="preserve">, que realizó el control correspondiente al período 2012 del citado organismo. </w:t>
      </w:r>
    </w:p>
    <w:p w:rsidR="0087127B" w:rsidRDefault="0087127B" w:rsidP="0087127B">
      <w:pPr>
        <w:spacing w:line="360" w:lineRule="auto"/>
        <w:jc w:val="both"/>
        <w:rPr>
          <w:rFonts w:ascii="Times New Roman" w:hAnsi="Times New Roman"/>
          <w:sz w:val="24"/>
          <w:szCs w:val="24"/>
        </w:rPr>
      </w:pPr>
      <w:r>
        <w:rPr>
          <w:rFonts w:ascii="Times New Roman" w:hAnsi="Times New Roman"/>
          <w:sz w:val="24"/>
          <w:szCs w:val="24"/>
        </w:rPr>
        <w:tab/>
        <w:t xml:space="preserve">Es dable mencionar en este punto que la Unidad de Gestión de Intervención Social (UGIS) es un organismo que tiene como función formular e implementar </w:t>
      </w:r>
      <w:r w:rsidRPr="004118DE">
        <w:rPr>
          <w:rFonts w:ascii="Times New Roman" w:hAnsi="Times New Roman"/>
          <w:sz w:val="24"/>
          <w:szCs w:val="24"/>
        </w:rPr>
        <w:t>programas de asistencia comunitaria y atención a las emergencias en villas, complejos habitacionales y barrios vulnerables de la Ciudad A</w:t>
      </w:r>
      <w:r>
        <w:rPr>
          <w:rFonts w:ascii="Times New Roman" w:hAnsi="Times New Roman"/>
          <w:sz w:val="24"/>
          <w:szCs w:val="24"/>
        </w:rPr>
        <w:t>utónoma de Buenos Aires. De acuerdo a la información contenida en la web del Gobierno de la Ciudad (</w:t>
      </w:r>
      <w:hyperlink r:id="rId6" w:history="1">
        <w:r w:rsidRPr="0010249C">
          <w:rPr>
            <w:rStyle w:val="Hipervnculo"/>
            <w:rFonts w:ascii="Times New Roman" w:hAnsi="Times New Roman"/>
            <w:sz w:val="24"/>
            <w:szCs w:val="24"/>
          </w:rPr>
          <w:t>http://www.buenosaires.gob.ar/habitat/institucional/organismos-dependientes</w:t>
        </w:r>
      </w:hyperlink>
      <w:r>
        <w:rPr>
          <w:rFonts w:ascii="Times New Roman" w:hAnsi="Times New Roman"/>
          <w:sz w:val="24"/>
          <w:szCs w:val="24"/>
        </w:rPr>
        <w:t xml:space="preserve">), la UGIS tiene además la función de </w:t>
      </w:r>
      <w:r w:rsidRPr="004118DE">
        <w:rPr>
          <w:rFonts w:ascii="Times New Roman" w:hAnsi="Times New Roman"/>
          <w:sz w:val="24"/>
          <w:szCs w:val="24"/>
        </w:rPr>
        <w:t>ejecuta</w:t>
      </w:r>
      <w:r>
        <w:rPr>
          <w:rFonts w:ascii="Times New Roman" w:hAnsi="Times New Roman"/>
          <w:sz w:val="24"/>
          <w:szCs w:val="24"/>
        </w:rPr>
        <w:t>r</w:t>
      </w:r>
      <w:r w:rsidRPr="004118DE">
        <w:rPr>
          <w:rFonts w:ascii="Times New Roman" w:hAnsi="Times New Roman"/>
          <w:sz w:val="24"/>
          <w:szCs w:val="24"/>
        </w:rPr>
        <w:t xml:space="preserve"> obras de solución, </w:t>
      </w:r>
      <w:r>
        <w:rPr>
          <w:rFonts w:ascii="Times New Roman" w:hAnsi="Times New Roman"/>
          <w:sz w:val="24"/>
          <w:szCs w:val="24"/>
        </w:rPr>
        <w:t xml:space="preserve">de </w:t>
      </w:r>
      <w:r w:rsidRPr="004118DE">
        <w:rPr>
          <w:rFonts w:ascii="Times New Roman" w:hAnsi="Times New Roman"/>
          <w:sz w:val="24"/>
          <w:szCs w:val="24"/>
        </w:rPr>
        <w:t xml:space="preserve">mejoramiento habitacional y </w:t>
      </w:r>
      <w:r>
        <w:rPr>
          <w:rFonts w:ascii="Times New Roman" w:hAnsi="Times New Roman"/>
          <w:sz w:val="24"/>
          <w:szCs w:val="24"/>
        </w:rPr>
        <w:t>el mantenimiento</w:t>
      </w:r>
      <w:r w:rsidRPr="004118DE">
        <w:rPr>
          <w:rFonts w:ascii="Times New Roman" w:hAnsi="Times New Roman"/>
          <w:sz w:val="24"/>
          <w:szCs w:val="24"/>
        </w:rPr>
        <w:t xml:space="preserve"> del hábitat en situaciones críticas que se dan en la cotidianeidad de los barrios. </w:t>
      </w:r>
      <w:r>
        <w:rPr>
          <w:rFonts w:ascii="Times New Roman" w:hAnsi="Times New Roman"/>
          <w:sz w:val="24"/>
          <w:szCs w:val="24"/>
        </w:rPr>
        <w:t>Se aclara en la web que l</w:t>
      </w:r>
      <w:r w:rsidRPr="004118DE">
        <w:rPr>
          <w:rFonts w:ascii="Times New Roman" w:hAnsi="Times New Roman"/>
          <w:sz w:val="24"/>
          <w:szCs w:val="24"/>
        </w:rPr>
        <w:t>as obras tienen carácter paliativo mientras la urbanización se consolida en cada uno de los territorios.</w:t>
      </w:r>
    </w:p>
    <w:p w:rsidR="0087127B" w:rsidRDefault="0087127B" w:rsidP="0087127B">
      <w:pPr>
        <w:spacing w:line="360" w:lineRule="auto"/>
        <w:jc w:val="both"/>
        <w:rPr>
          <w:rFonts w:ascii="Times New Roman" w:hAnsi="Times New Roman"/>
          <w:sz w:val="24"/>
          <w:szCs w:val="24"/>
        </w:rPr>
      </w:pPr>
      <w:r>
        <w:rPr>
          <w:rFonts w:ascii="Times New Roman" w:hAnsi="Times New Roman"/>
          <w:sz w:val="24"/>
          <w:szCs w:val="24"/>
        </w:rPr>
        <w:tab/>
        <w:t>En este sentido, se solicita se informe si se firmaron</w:t>
      </w:r>
      <w:r w:rsidRPr="000303B3">
        <w:rPr>
          <w:rFonts w:ascii="Times New Roman" w:hAnsi="Times New Roman"/>
          <w:sz w:val="24"/>
          <w:szCs w:val="24"/>
        </w:rPr>
        <w:t xml:space="preserve"> convenios con cooperativas de</w:t>
      </w:r>
      <w:r>
        <w:rPr>
          <w:rFonts w:ascii="Times New Roman" w:hAnsi="Times New Roman"/>
          <w:sz w:val="24"/>
          <w:szCs w:val="24"/>
        </w:rPr>
        <w:t xml:space="preserve"> trabajo para realizar</w:t>
      </w:r>
      <w:r w:rsidRPr="000303B3">
        <w:rPr>
          <w:rFonts w:ascii="Times New Roman" w:hAnsi="Times New Roman"/>
          <w:sz w:val="24"/>
          <w:szCs w:val="24"/>
        </w:rPr>
        <w:t xml:space="preserve"> obras en villas o núcleos habitacio</w:t>
      </w:r>
      <w:r>
        <w:rPr>
          <w:rFonts w:ascii="Times New Roman" w:hAnsi="Times New Roman"/>
          <w:sz w:val="24"/>
          <w:szCs w:val="24"/>
        </w:rPr>
        <w:t xml:space="preserve">nales transitorios, y en caso de ser así, se remitan los listados en dónde se informe quienes son los asociados que realizaron los trabajos. En este punto es de destacar que en el Informe de referencia se informó que durante el año 2012, </w:t>
      </w:r>
      <w:bookmarkStart w:id="1" w:name="_GoBack"/>
      <w:bookmarkEnd w:id="1"/>
      <w:r>
        <w:rPr>
          <w:rFonts w:ascii="Times New Roman" w:hAnsi="Times New Roman"/>
          <w:sz w:val="24"/>
          <w:szCs w:val="24"/>
        </w:rPr>
        <w:t xml:space="preserve">se firmaron convenios de cooperativas a los de que estas realicen, entre otras, tareas de </w:t>
      </w:r>
      <w:r w:rsidRPr="00DC12CD">
        <w:rPr>
          <w:rFonts w:ascii="Times New Roman" w:hAnsi="Times New Roman"/>
          <w:sz w:val="24"/>
          <w:szCs w:val="24"/>
        </w:rPr>
        <w:t>des</w:t>
      </w:r>
      <w:r>
        <w:rPr>
          <w:rFonts w:ascii="Times New Roman" w:hAnsi="Times New Roman"/>
          <w:sz w:val="24"/>
          <w:szCs w:val="24"/>
        </w:rPr>
        <w:t xml:space="preserve">insectación, de </w:t>
      </w:r>
      <w:r w:rsidRPr="00DC12CD">
        <w:rPr>
          <w:rFonts w:ascii="Times New Roman" w:hAnsi="Times New Roman"/>
          <w:sz w:val="24"/>
          <w:szCs w:val="24"/>
        </w:rPr>
        <w:t xml:space="preserve">recolección de áridos, higienización y desmalezado de lugares desocupados, terrenos baldíos y </w:t>
      </w:r>
      <w:r>
        <w:rPr>
          <w:rFonts w:ascii="Times New Roman" w:hAnsi="Times New Roman"/>
          <w:sz w:val="24"/>
          <w:szCs w:val="24"/>
        </w:rPr>
        <w:t xml:space="preserve">creación de espacios verdes; y de  </w:t>
      </w:r>
      <w:r w:rsidRPr="00DC12CD">
        <w:rPr>
          <w:rFonts w:ascii="Times New Roman" w:hAnsi="Times New Roman"/>
          <w:sz w:val="24"/>
          <w:szCs w:val="24"/>
        </w:rPr>
        <w:t>recolección de residuos domiciliarios y l</w:t>
      </w:r>
      <w:r>
        <w:rPr>
          <w:rFonts w:ascii="Times New Roman" w:hAnsi="Times New Roman"/>
          <w:sz w:val="24"/>
          <w:szCs w:val="24"/>
        </w:rPr>
        <w:t xml:space="preserve">impieza de pasillos; además de observarse que en la información suministrada por el auditado no constaron los listados que indiquen los asociados que realizaron las tareas, ni existió certificación </w:t>
      </w:r>
      <w:r>
        <w:rPr>
          <w:rFonts w:ascii="Times New Roman" w:hAnsi="Times New Roman"/>
          <w:sz w:val="24"/>
          <w:szCs w:val="24"/>
        </w:rPr>
        <w:lastRenderedPageBreak/>
        <w:t xml:space="preserve">de firmas de los </w:t>
      </w:r>
      <w:r w:rsidRPr="00CD56EE">
        <w:rPr>
          <w:rFonts w:ascii="Times New Roman" w:hAnsi="Times New Roman"/>
          <w:sz w:val="24"/>
          <w:szCs w:val="24"/>
        </w:rPr>
        <w:t xml:space="preserve">representantes legales de las cooperativas </w:t>
      </w:r>
      <w:r>
        <w:rPr>
          <w:rFonts w:ascii="Times New Roman" w:hAnsi="Times New Roman"/>
          <w:sz w:val="24"/>
          <w:szCs w:val="24"/>
        </w:rPr>
        <w:t xml:space="preserve">ni constancias que acrediten la </w:t>
      </w:r>
      <w:r w:rsidRPr="00CD56EE">
        <w:rPr>
          <w:rFonts w:ascii="Times New Roman" w:hAnsi="Times New Roman"/>
          <w:sz w:val="24"/>
          <w:szCs w:val="24"/>
        </w:rPr>
        <w:t xml:space="preserve">representatividad. </w:t>
      </w:r>
    </w:p>
    <w:p w:rsidR="0087127B" w:rsidRDefault="0087127B" w:rsidP="0087127B">
      <w:pPr>
        <w:spacing w:line="360" w:lineRule="auto"/>
        <w:jc w:val="both"/>
        <w:rPr>
          <w:rFonts w:ascii="Times New Roman" w:hAnsi="Times New Roman"/>
          <w:sz w:val="24"/>
          <w:szCs w:val="24"/>
        </w:rPr>
      </w:pPr>
      <w:r>
        <w:rPr>
          <w:rFonts w:ascii="Times New Roman" w:hAnsi="Times New Roman"/>
          <w:sz w:val="24"/>
          <w:szCs w:val="24"/>
        </w:rPr>
        <w:tab/>
        <w:t xml:space="preserve">Por último, también se solicita que se informe sobre la forma en la que fueron contratadas la totalidad de las obras realizadas en los años 2014 y 2015 en las villas de emergencia de la Ciudad. En este punto, cabe destacar que en el Informe precitado, la Auditoría de la Ciudad observó que el 82 % de las obras realizadas por la UGIS en las villas en el año 2012 se realizó  </w:t>
      </w:r>
      <w:r w:rsidRPr="003B578C">
        <w:rPr>
          <w:rFonts w:ascii="Times New Roman" w:hAnsi="Times New Roman"/>
          <w:sz w:val="24"/>
          <w:szCs w:val="24"/>
        </w:rPr>
        <w:t xml:space="preserve">mediante la modalidad </w:t>
      </w:r>
      <w:r>
        <w:rPr>
          <w:rFonts w:ascii="Times New Roman" w:hAnsi="Times New Roman"/>
          <w:sz w:val="24"/>
          <w:szCs w:val="24"/>
        </w:rPr>
        <w:t xml:space="preserve">de excepción </w:t>
      </w:r>
      <w:r w:rsidRPr="003B578C">
        <w:rPr>
          <w:rFonts w:ascii="Times New Roman" w:hAnsi="Times New Roman"/>
          <w:sz w:val="24"/>
          <w:szCs w:val="24"/>
        </w:rPr>
        <w:t>establecida</w:t>
      </w:r>
      <w:r>
        <w:rPr>
          <w:rFonts w:ascii="Times New Roman" w:hAnsi="Times New Roman"/>
          <w:sz w:val="24"/>
          <w:szCs w:val="24"/>
        </w:rPr>
        <w:t xml:space="preserve"> </w:t>
      </w:r>
      <w:r w:rsidRPr="003B578C">
        <w:rPr>
          <w:rFonts w:ascii="Times New Roman" w:hAnsi="Times New Roman"/>
          <w:sz w:val="24"/>
          <w:szCs w:val="24"/>
        </w:rPr>
        <w:t xml:space="preserve">para gastos de imprescindible necesidad a través del Decreto 556/2010. </w:t>
      </w:r>
    </w:p>
    <w:p w:rsidR="0087127B" w:rsidRDefault="0087127B" w:rsidP="0087127B">
      <w:pPr>
        <w:spacing w:line="360" w:lineRule="auto"/>
        <w:jc w:val="both"/>
        <w:rPr>
          <w:rFonts w:ascii="Times New Roman" w:hAnsi="Times New Roman"/>
          <w:sz w:val="24"/>
          <w:szCs w:val="24"/>
        </w:rPr>
      </w:pPr>
      <w:r>
        <w:rPr>
          <w:rFonts w:ascii="Times New Roman" w:hAnsi="Times New Roman"/>
          <w:sz w:val="24"/>
          <w:szCs w:val="24"/>
        </w:rPr>
        <w:tab/>
        <w:t>A modo de colofón, me permito recordar que e</w:t>
      </w:r>
      <w:r w:rsidRPr="008B65D6">
        <w:rPr>
          <w:rFonts w:ascii="Times New Roman" w:hAnsi="Times New Roman"/>
          <w:sz w:val="24"/>
          <w:szCs w:val="24"/>
        </w:rPr>
        <w:t>l último Censo Nac</w:t>
      </w:r>
      <w:r>
        <w:rPr>
          <w:rFonts w:ascii="Times New Roman" w:hAnsi="Times New Roman"/>
          <w:sz w:val="24"/>
          <w:szCs w:val="24"/>
        </w:rPr>
        <w:t>ional de Población y Vivienda realizado en el año</w:t>
      </w:r>
      <w:r w:rsidRPr="008B65D6">
        <w:rPr>
          <w:rFonts w:ascii="Times New Roman" w:hAnsi="Times New Roman"/>
          <w:sz w:val="24"/>
          <w:szCs w:val="24"/>
        </w:rPr>
        <w:t xml:space="preserve"> 2010 expuso que unas 163.000 personas vivían en los asentamientos de emergencia que se encuent</w:t>
      </w:r>
      <w:r>
        <w:rPr>
          <w:rFonts w:ascii="Times New Roman" w:hAnsi="Times New Roman"/>
          <w:sz w:val="24"/>
          <w:szCs w:val="24"/>
        </w:rPr>
        <w:t>ran distribuidos por casi toda Ciudad y que en 2014</w:t>
      </w:r>
      <w:r w:rsidRPr="008B65D6">
        <w:rPr>
          <w:rFonts w:ascii="Times New Roman" w:hAnsi="Times New Roman"/>
          <w:sz w:val="24"/>
          <w:szCs w:val="24"/>
        </w:rPr>
        <w:t>, la Secretaría de Hábitat e Inclusión del gobierno porteño realiz</w:t>
      </w:r>
      <w:r>
        <w:rPr>
          <w:rFonts w:ascii="Times New Roman" w:hAnsi="Times New Roman"/>
          <w:sz w:val="24"/>
          <w:szCs w:val="24"/>
        </w:rPr>
        <w:t>ó otro estudio y precisó que ese año las villas eran</w:t>
      </w:r>
      <w:r w:rsidRPr="008B65D6">
        <w:rPr>
          <w:rFonts w:ascii="Times New Roman" w:hAnsi="Times New Roman"/>
          <w:sz w:val="24"/>
          <w:szCs w:val="24"/>
        </w:rPr>
        <w:t xml:space="preserve"> habitadas por unas 275.000 personas</w:t>
      </w:r>
      <w:r>
        <w:rPr>
          <w:rFonts w:ascii="Times New Roman" w:hAnsi="Times New Roman"/>
          <w:sz w:val="24"/>
          <w:szCs w:val="24"/>
        </w:rPr>
        <w:t>, lo que implicó un incrementó del</w:t>
      </w:r>
      <w:r w:rsidRPr="008B65D6">
        <w:rPr>
          <w:rFonts w:ascii="Times New Roman" w:hAnsi="Times New Roman"/>
          <w:sz w:val="24"/>
          <w:szCs w:val="24"/>
        </w:rPr>
        <w:t xml:space="preserve"> 68,7%</w:t>
      </w:r>
      <w:r>
        <w:rPr>
          <w:rFonts w:ascii="Times New Roman" w:hAnsi="Times New Roman"/>
          <w:sz w:val="24"/>
          <w:szCs w:val="24"/>
        </w:rPr>
        <w:t xml:space="preserve"> en sólo cuatro años. Las cifras oficiales</w:t>
      </w:r>
      <w:r w:rsidRPr="008B65D6">
        <w:rPr>
          <w:rFonts w:ascii="Times New Roman" w:hAnsi="Times New Roman"/>
          <w:sz w:val="24"/>
          <w:szCs w:val="24"/>
        </w:rPr>
        <w:t xml:space="preserve"> muestra</w:t>
      </w:r>
      <w:r>
        <w:rPr>
          <w:rFonts w:ascii="Times New Roman" w:hAnsi="Times New Roman"/>
          <w:sz w:val="24"/>
          <w:szCs w:val="24"/>
        </w:rPr>
        <w:t>n</w:t>
      </w:r>
      <w:r w:rsidRPr="008B65D6">
        <w:rPr>
          <w:rFonts w:ascii="Times New Roman" w:hAnsi="Times New Roman"/>
          <w:sz w:val="24"/>
          <w:szCs w:val="24"/>
        </w:rPr>
        <w:t xml:space="preserve"> un crecimiento impactante que se contrapone con la poca variación que se registra desde hace años en el número total de habitantes de la Ciudad, que se mant</w:t>
      </w:r>
      <w:r>
        <w:rPr>
          <w:rFonts w:ascii="Times New Roman" w:hAnsi="Times New Roman"/>
          <w:sz w:val="24"/>
          <w:szCs w:val="24"/>
        </w:rPr>
        <w:t xml:space="preserve">iene alrededor de los 2.890.000. </w:t>
      </w:r>
    </w:p>
    <w:p w:rsidR="0087127B" w:rsidRDefault="0087127B" w:rsidP="0087127B">
      <w:pPr>
        <w:spacing w:line="360" w:lineRule="auto"/>
        <w:jc w:val="both"/>
        <w:rPr>
          <w:rFonts w:ascii="Times New Roman" w:hAnsi="Times New Roman"/>
          <w:sz w:val="24"/>
          <w:szCs w:val="24"/>
        </w:rPr>
      </w:pPr>
      <w:r>
        <w:rPr>
          <w:rFonts w:ascii="Times New Roman" w:hAnsi="Times New Roman"/>
          <w:sz w:val="24"/>
          <w:szCs w:val="24"/>
        </w:rPr>
        <w:tab/>
        <w:t xml:space="preserve">Estas cifras dan cuenta de una situación habitacional crítica en la que debemos poner la vista desde el Poder Legislativo a los fines de conocer las tareas que se realizan desde el Ejecutivo para solucionarla, y de acuerdo a la respuesta, legislar en consecuencia con objeto de hacer efectiva la manda constitucional y la normativa reseñada en estos fundamentos, a los fines de garantizar una vivienda digna a todos los habitantes de la Ciudad Autónoma de Buenos Aires. </w:t>
      </w:r>
    </w:p>
    <w:p w:rsidR="0087127B" w:rsidRDefault="0087127B" w:rsidP="0087127B">
      <w:pPr>
        <w:spacing w:line="360" w:lineRule="auto"/>
        <w:jc w:val="both"/>
        <w:rPr>
          <w:rFonts w:ascii="Times New Roman" w:hAnsi="Times New Roman"/>
          <w:sz w:val="24"/>
          <w:szCs w:val="24"/>
        </w:rPr>
      </w:pPr>
    </w:p>
    <w:p w:rsidR="0087127B" w:rsidRPr="008B65D6" w:rsidRDefault="0087127B" w:rsidP="0087127B">
      <w:pPr>
        <w:spacing w:line="360" w:lineRule="auto"/>
        <w:jc w:val="both"/>
        <w:rPr>
          <w:rFonts w:ascii="Times New Roman" w:hAnsi="Times New Roman"/>
          <w:sz w:val="24"/>
          <w:szCs w:val="24"/>
        </w:rPr>
      </w:pPr>
      <w:r>
        <w:rPr>
          <w:rFonts w:ascii="Times New Roman" w:hAnsi="Times New Roman"/>
          <w:sz w:val="24"/>
          <w:szCs w:val="24"/>
        </w:rPr>
        <w:tab/>
        <w:t xml:space="preserve">Por las razones expuestas, es que solicito a los Señores Diputados que acompañen con su firma el presente Proyecto de Resolución. </w:t>
      </w:r>
    </w:p>
    <w:p w:rsidR="0087127B" w:rsidRPr="008B65D6" w:rsidRDefault="0087127B" w:rsidP="0087127B">
      <w:pPr>
        <w:spacing w:line="360" w:lineRule="auto"/>
        <w:jc w:val="both"/>
        <w:rPr>
          <w:rFonts w:ascii="Times New Roman" w:hAnsi="Times New Roman"/>
          <w:sz w:val="24"/>
          <w:szCs w:val="24"/>
        </w:rPr>
      </w:pPr>
    </w:p>
    <w:p w:rsidR="0087127B" w:rsidRDefault="0087127B" w:rsidP="0087127B">
      <w:pPr>
        <w:spacing w:line="360" w:lineRule="auto"/>
        <w:jc w:val="both"/>
        <w:rPr>
          <w:rFonts w:ascii="Times New Roman" w:hAnsi="Times New Roman"/>
          <w:sz w:val="24"/>
          <w:szCs w:val="24"/>
        </w:rPr>
      </w:pPr>
    </w:p>
    <w:p w:rsidR="0087127B" w:rsidRPr="00712E64" w:rsidRDefault="0087127B" w:rsidP="0087127B">
      <w:pPr>
        <w:spacing w:line="360" w:lineRule="auto"/>
        <w:jc w:val="both"/>
        <w:rPr>
          <w:rFonts w:ascii="Times New Roman" w:hAnsi="Times New Roman"/>
          <w:sz w:val="24"/>
          <w:szCs w:val="24"/>
        </w:rPr>
      </w:pPr>
    </w:p>
    <w:p w:rsidR="00B177FE" w:rsidRPr="0087127B" w:rsidRDefault="00B177FE" w:rsidP="00081FFF">
      <w:pPr>
        <w:rPr>
          <w:sz w:val="24"/>
        </w:rPr>
      </w:pPr>
    </w:p>
    <w:p w:rsidR="00B177FE" w:rsidRPr="0087127B" w:rsidRDefault="00B177FE" w:rsidP="00081FFF">
      <w:pPr>
        <w:rPr>
          <w:sz w:val="24"/>
          <w:lang w:val="es-MX"/>
        </w:rPr>
      </w:pPr>
    </w:p>
    <w:p w:rsidR="00AF6352" w:rsidRPr="0087127B" w:rsidRDefault="00AF6352" w:rsidP="00081FFF">
      <w:pPr>
        <w:rPr>
          <w:sz w:val="24"/>
          <w:lang w:val="es-MX"/>
        </w:rPr>
      </w:pPr>
    </w:p>
    <w:sectPr w:rsidR="00AF6352" w:rsidRPr="0087127B" w:rsidSect="00B85EE2">
      <w:headerReference w:type="default" r:id="rId7"/>
      <w:footerReference w:type="default" r:id="rId8"/>
      <w:pgSz w:w="12242" w:h="20163" w:code="5"/>
      <w:pgMar w:top="2835"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7C8" w:rsidRDefault="009767C8">
      <w:pPr>
        <w:spacing w:after="0" w:line="240" w:lineRule="auto"/>
      </w:pPr>
      <w:r>
        <w:separator/>
      </w:r>
    </w:p>
  </w:endnote>
  <w:endnote w:type="continuationSeparator" w:id="1">
    <w:p w:rsidR="009767C8" w:rsidRDefault="009767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87127B" w:rsidRDefault="00601A75">
    <w:pPr>
      <w:pStyle w:val="Piedepgina"/>
      <w:rPr>
        <w:color w:val="333333"/>
        <w:sz w:val="20"/>
      </w:rPr>
    </w:pPr>
    <w:bookmarkStart w:id="2" w:name="Proyecto"/>
    <w:bookmarkEnd w:id="2"/>
  </w:p>
  <w:p w:rsidR="00601A75" w:rsidRPr="0087127B" w:rsidRDefault="00601A75">
    <w:pPr>
      <w:pStyle w:val="Piedepgina"/>
      <w:rPr>
        <w:color w:val="333333"/>
        <w:sz w:val="20"/>
      </w:rPr>
    </w:pPr>
    <w:r w:rsidRPr="0087127B">
      <w:rPr>
        <w:color w:val="333333"/>
        <w:sz w:val="20"/>
      </w:rPr>
      <w:t xml:space="preserve">Último cambio: </w:t>
    </w:r>
    <w:fldSimple w:instr=" SAVEDATE  \* MERGEFORMAT ">
      <w:r w:rsidR="00573555" w:rsidRPr="00573555">
        <w:rPr>
          <w:noProof/>
          <w:color w:val="333333"/>
          <w:sz w:val="20"/>
        </w:rPr>
        <w:t>19/05/2016 11:53:00</w:t>
      </w:r>
    </w:fldSimple>
    <w:r w:rsidRPr="0087127B">
      <w:rPr>
        <w:color w:val="333333"/>
        <w:sz w:val="20"/>
      </w:rPr>
      <w:t xml:space="preserve">  -  Cantidad de caracteres: </w:t>
    </w:r>
    <w:fldSimple w:instr=" NUMCHARS  \* MERGEFORMAT ">
      <w:r w:rsidR="00DD7F28">
        <w:rPr>
          <w:noProof/>
          <w:color w:val="333333"/>
          <w:sz w:val="20"/>
        </w:rPr>
        <w:t>7562</w:t>
      </w:r>
    </w:fldSimple>
    <w:r w:rsidRPr="0087127B">
      <w:rPr>
        <w:color w:val="333333"/>
        <w:sz w:val="20"/>
      </w:rPr>
      <w:t xml:space="preserve"> - Cantidad de palabras: </w:t>
    </w:r>
    <w:fldSimple w:instr=" NUMWORDS  \* MERGEFORMAT ">
      <w:r w:rsidR="00DD7F28">
        <w:rPr>
          <w:noProof/>
          <w:color w:val="333333"/>
          <w:sz w:val="20"/>
        </w:rPr>
        <w:t>1408</w:t>
      </w:r>
    </w:fldSimple>
  </w:p>
  <w:p w:rsidR="00601A75" w:rsidRPr="0087127B" w:rsidRDefault="00601A75" w:rsidP="00B05649">
    <w:pPr>
      <w:pStyle w:val="Piedepgina"/>
      <w:tabs>
        <w:tab w:val="left" w:pos="3565"/>
      </w:tabs>
      <w:rPr>
        <w:rStyle w:val="Nmerodepgina"/>
        <w:color w:val="333333"/>
      </w:rPr>
    </w:pPr>
    <w:r w:rsidRPr="0087127B">
      <w:rPr>
        <w:color w:val="333333"/>
        <w:sz w:val="20"/>
      </w:rPr>
      <w:tab/>
      <w:t>Pág.</w:t>
    </w:r>
    <w:r w:rsidRPr="0087127B">
      <w:rPr>
        <w:color w:val="333333"/>
      </w:rPr>
      <w:t xml:space="preserve"> </w:t>
    </w:r>
    <w:r w:rsidR="00211B0B" w:rsidRPr="0087127B">
      <w:rPr>
        <w:rStyle w:val="Nmerodepgina"/>
        <w:color w:val="333333"/>
      </w:rPr>
      <w:fldChar w:fldCharType="begin"/>
    </w:r>
    <w:r w:rsidRPr="0087127B">
      <w:rPr>
        <w:rStyle w:val="Nmerodepgina"/>
        <w:color w:val="333333"/>
      </w:rPr>
      <w:instrText xml:space="preserve"> PAGE </w:instrText>
    </w:r>
    <w:r w:rsidR="00211B0B" w:rsidRPr="0087127B">
      <w:rPr>
        <w:rStyle w:val="Nmerodepgina"/>
        <w:color w:val="333333"/>
      </w:rPr>
      <w:fldChar w:fldCharType="separate"/>
    </w:r>
    <w:r w:rsidR="00573555">
      <w:rPr>
        <w:rStyle w:val="Nmerodepgina"/>
        <w:noProof/>
        <w:color w:val="333333"/>
      </w:rPr>
      <w:t>1</w:t>
    </w:r>
    <w:r w:rsidR="00211B0B" w:rsidRPr="0087127B">
      <w:rPr>
        <w:rStyle w:val="Nmerodepgina"/>
        <w:color w:val="333333"/>
      </w:rPr>
      <w:fldChar w:fldCharType="end"/>
    </w:r>
    <w:r w:rsidRPr="0087127B">
      <w:rPr>
        <w:rStyle w:val="Nmerodepgina"/>
        <w:color w:val="333333"/>
      </w:rPr>
      <w:t>/</w:t>
    </w:r>
    <w:fldSimple w:instr=" NUMPAGES  \* MERGEFORMAT ">
      <w:r w:rsidR="00573555" w:rsidRPr="00573555">
        <w:rPr>
          <w:rStyle w:val="Nmerodepgina"/>
          <w:noProof/>
          <w:color w:val="333333"/>
        </w:rPr>
        <w:t>4</w:t>
      </w:r>
    </w:fldSimple>
    <w:r w:rsidRPr="0087127B">
      <w:rPr>
        <w:rStyle w:val="Nmerodepgina"/>
        <w:color w:val="333333"/>
      </w:rPr>
      <w:t xml:space="preserve"> </w:t>
    </w:r>
  </w:p>
  <w:p w:rsidR="00601A75" w:rsidRPr="0087127B"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7C8" w:rsidRDefault="009767C8">
      <w:pPr>
        <w:spacing w:after="0" w:line="240" w:lineRule="auto"/>
      </w:pPr>
      <w:r>
        <w:separator/>
      </w:r>
    </w:p>
  </w:footnote>
  <w:footnote w:type="continuationSeparator" w:id="1">
    <w:p w:rsidR="009767C8" w:rsidRDefault="009767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Default="00601A75" w:rsidP="00B85EE2">
    <w:pPr>
      <w:pStyle w:val="Encabezado"/>
      <w:jc w:val="right"/>
      <w:rPr>
        <w:i/>
        <w:color w:val="000000"/>
        <w:shd w:val="clear" w:color="auto" w:fill="FFFFFF"/>
      </w:rPr>
    </w:pPr>
  </w:p>
  <w:p w:rsidR="00601A75" w:rsidRDefault="00211B0B" w:rsidP="00B85EE2">
    <w:pPr>
      <w:pStyle w:val="Encabezado"/>
      <w:jc w:val="right"/>
      <w:rPr>
        <w:i/>
        <w:color w:val="000000"/>
        <w:shd w:val="clear" w:color="auto" w:fill="FFFFFF"/>
      </w:rPr>
    </w:pPr>
    <w:hyperlink r:id="rId1"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35pt;height:63.2pt">
            <v:imagedata r:id="rId2" o:title="logo legislatura nuevo"/>
          </v:shape>
        </w:pict>
      </w:r>
    </w:hyperlink>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attachedTemplate r:id="rId1"/>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7F28"/>
    <w:rsid w:val="00026430"/>
    <w:rsid w:val="00030DF5"/>
    <w:rsid w:val="0003615C"/>
    <w:rsid w:val="00043882"/>
    <w:rsid w:val="00062864"/>
    <w:rsid w:val="00067370"/>
    <w:rsid w:val="000713D7"/>
    <w:rsid w:val="00071CFB"/>
    <w:rsid w:val="00080837"/>
    <w:rsid w:val="00081FFF"/>
    <w:rsid w:val="00085D07"/>
    <w:rsid w:val="000B2290"/>
    <w:rsid w:val="000D1497"/>
    <w:rsid w:val="000D2860"/>
    <w:rsid w:val="000D6C54"/>
    <w:rsid w:val="000E3949"/>
    <w:rsid w:val="000F74CB"/>
    <w:rsid w:val="000F7E30"/>
    <w:rsid w:val="00103C6B"/>
    <w:rsid w:val="00104335"/>
    <w:rsid w:val="00127D10"/>
    <w:rsid w:val="00136787"/>
    <w:rsid w:val="00145948"/>
    <w:rsid w:val="00155C7C"/>
    <w:rsid w:val="00160A2A"/>
    <w:rsid w:val="001614A7"/>
    <w:rsid w:val="0019414B"/>
    <w:rsid w:val="001B770D"/>
    <w:rsid w:val="001C18CC"/>
    <w:rsid w:val="001D480C"/>
    <w:rsid w:val="001E5394"/>
    <w:rsid w:val="001F2924"/>
    <w:rsid w:val="001F3AFD"/>
    <w:rsid w:val="00205802"/>
    <w:rsid w:val="00205DAD"/>
    <w:rsid w:val="00211B0B"/>
    <w:rsid w:val="00223436"/>
    <w:rsid w:val="002327DE"/>
    <w:rsid w:val="00246DF0"/>
    <w:rsid w:val="0026220D"/>
    <w:rsid w:val="00265972"/>
    <w:rsid w:val="00275865"/>
    <w:rsid w:val="00276A7E"/>
    <w:rsid w:val="00296815"/>
    <w:rsid w:val="002971A4"/>
    <w:rsid w:val="002B47D0"/>
    <w:rsid w:val="002C768C"/>
    <w:rsid w:val="002D05E9"/>
    <w:rsid w:val="002D778C"/>
    <w:rsid w:val="002E38C3"/>
    <w:rsid w:val="002F7961"/>
    <w:rsid w:val="00302300"/>
    <w:rsid w:val="00305DD1"/>
    <w:rsid w:val="00315C77"/>
    <w:rsid w:val="00335CD9"/>
    <w:rsid w:val="00340F54"/>
    <w:rsid w:val="0035681D"/>
    <w:rsid w:val="003A7311"/>
    <w:rsid w:val="003B471C"/>
    <w:rsid w:val="003D10AB"/>
    <w:rsid w:val="003D4000"/>
    <w:rsid w:val="003F1EFD"/>
    <w:rsid w:val="003F4249"/>
    <w:rsid w:val="00401C75"/>
    <w:rsid w:val="0040761B"/>
    <w:rsid w:val="00422C3F"/>
    <w:rsid w:val="004354AC"/>
    <w:rsid w:val="00446E1A"/>
    <w:rsid w:val="004847CA"/>
    <w:rsid w:val="004B7714"/>
    <w:rsid w:val="004D2D62"/>
    <w:rsid w:val="004D30D5"/>
    <w:rsid w:val="004D438B"/>
    <w:rsid w:val="004E235F"/>
    <w:rsid w:val="0051012E"/>
    <w:rsid w:val="005142E6"/>
    <w:rsid w:val="00522C71"/>
    <w:rsid w:val="00534552"/>
    <w:rsid w:val="00540D49"/>
    <w:rsid w:val="00540E5C"/>
    <w:rsid w:val="00550A79"/>
    <w:rsid w:val="00551DE0"/>
    <w:rsid w:val="00573555"/>
    <w:rsid w:val="0057409D"/>
    <w:rsid w:val="005769D4"/>
    <w:rsid w:val="00584777"/>
    <w:rsid w:val="00587242"/>
    <w:rsid w:val="005A1232"/>
    <w:rsid w:val="005A32ED"/>
    <w:rsid w:val="005A4D27"/>
    <w:rsid w:val="005B0FAF"/>
    <w:rsid w:val="005B14CE"/>
    <w:rsid w:val="005B6538"/>
    <w:rsid w:val="005C37AB"/>
    <w:rsid w:val="005F35E2"/>
    <w:rsid w:val="00601A75"/>
    <w:rsid w:val="00616F70"/>
    <w:rsid w:val="00622DE5"/>
    <w:rsid w:val="00636BE0"/>
    <w:rsid w:val="0064363E"/>
    <w:rsid w:val="006811D6"/>
    <w:rsid w:val="00690392"/>
    <w:rsid w:val="00697F98"/>
    <w:rsid w:val="006C326A"/>
    <w:rsid w:val="006C40E9"/>
    <w:rsid w:val="006D3303"/>
    <w:rsid w:val="006D5CB7"/>
    <w:rsid w:val="006E3675"/>
    <w:rsid w:val="00706B8E"/>
    <w:rsid w:val="00715AF3"/>
    <w:rsid w:val="00720C1E"/>
    <w:rsid w:val="00734F30"/>
    <w:rsid w:val="007410E7"/>
    <w:rsid w:val="007420D8"/>
    <w:rsid w:val="00771B54"/>
    <w:rsid w:val="007728C1"/>
    <w:rsid w:val="00777916"/>
    <w:rsid w:val="00780167"/>
    <w:rsid w:val="00795E19"/>
    <w:rsid w:val="007B0FD7"/>
    <w:rsid w:val="007B3715"/>
    <w:rsid w:val="007B6DE7"/>
    <w:rsid w:val="007C0373"/>
    <w:rsid w:val="007C0CF9"/>
    <w:rsid w:val="007D2459"/>
    <w:rsid w:val="007E2AB2"/>
    <w:rsid w:val="007E3534"/>
    <w:rsid w:val="007E36D1"/>
    <w:rsid w:val="008019FD"/>
    <w:rsid w:val="008034F8"/>
    <w:rsid w:val="00812683"/>
    <w:rsid w:val="00820A3A"/>
    <w:rsid w:val="00827228"/>
    <w:rsid w:val="008433E2"/>
    <w:rsid w:val="00846702"/>
    <w:rsid w:val="008553EB"/>
    <w:rsid w:val="0086333F"/>
    <w:rsid w:val="00870A2D"/>
    <w:rsid w:val="0087127B"/>
    <w:rsid w:val="008844BF"/>
    <w:rsid w:val="0088546A"/>
    <w:rsid w:val="00890C59"/>
    <w:rsid w:val="00890E2F"/>
    <w:rsid w:val="008938E5"/>
    <w:rsid w:val="008B4536"/>
    <w:rsid w:val="008C4AC3"/>
    <w:rsid w:val="00906685"/>
    <w:rsid w:val="00910E0F"/>
    <w:rsid w:val="0091690E"/>
    <w:rsid w:val="00947238"/>
    <w:rsid w:val="009624FC"/>
    <w:rsid w:val="0096461D"/>
    <w:rsid w:val="009767C8"/>
    <w:rsid w:val="009953AF"/>
    <w:rsid w:val="00996E34"/>
    <w:rsid w:val="009A6E2B"/>
    <w:rsid w:val="009B4FAC"/>
    <w:rsid w:val="009C20D3"/>
    <w:rsid w:val="009E5835"/>
    <w:rsid w:val="009F4E01"/>
    <w:rsid w:val="00A06A2B"/>
    <w:rsid w:val="00A07090"/>
    <w:rsid w:val="00A11AD7"/>
    <w:rsid w:val="00A1286B"/>
    <w:rsid w:val="00A240CA"/>
    <w:rsid w:val="00A37C1D"/>
    <w:rsid w:val="00A40D86"/>
    <w:rsid w:val="00A43208"/>
    <w:rsid w:val="00A47920"/>
    <w:rsid w:val="00A55E61"/>
    <w:rsid w:val="00A66804"/>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7FE"/>
    <w:rsid w:val="00B264C1"/>
    <w:rsid w:val="00B31B65"/>
    <w:rsid w:val="00B36178"/>
    <w:rsid w:val="00B4532F"/>
    <w:rsid w:val="00B46232"/>
    <w:rsid w:val="00B85EE2"/>
    <w:rsid w:val="00BF2B7B"/>
    <w:rsid w:val="00BF71C2"/>
    <w:rsid w:val="00C26F53"/>
    <w:rsid w:val="00C330CB"/>
    <w:rsid w:val="00C3675D"/>
    <w:rsid w:val="00C419C1"/>
    <w:rsid w:val="00C51E49"/>
    <w:rsid w:val="00C521F9"/>
    <w:rsid w:val="00C63351"/>
    <w:rsid w:val="00C71253"/>
    <w:rsid w:val="00C734F9"/>
    <w:rsid w:val="00C87365"/>
    <w:rsid w:val="00C93FF6"/>
    <w:rsid w:val="00CC20B0"/>
    <w:rsid w:val="00CE163F"/>
    <w:rsid w:val="00D21279"/>
    <w:rsid w:val="00D43AA2"/>
    <w:rsid w:val="00D518DB"/>
    <w:rsid w:val="00D55ECB"/>
    <w:rsid w:val="00D67721"/>
    <w:rsid w:val="00D758CE"/>
    <w:rsid w:val="00D76A86"/>
    <w:rsid w:val="00D927D4"/>
    <w:rsid w:val="00DD2795"/>
    <w:rsid w:val="00DD4DE2"/>
    <w:rsid w:val="00DD7F28"/>
    <w:rsid w:val="00DF0164"/>
    <w:rsid w:val="00DF54AA"/>
    <w:rsid w:val="00E07D33"/>
    <w:rsid w:val="00E12909"/>
    <w:rsid w:val="00E12DDE"/>
    <w:rsid w:val="00E143B6"/>
    <w:rsid w:val="00E30CFF"/>
    <w:rsid w:val="00E55186"/>
    <w:rsid w:val="00E615F1"/>
    <w:rsid w:val="00E63146"/>
    <w:rsid w:val="00E64A1D"/>
    <w:rsid w:val="00E74920"/>
    <w:rsid w:val="00E81EE5"/>
    <w:rsid w:val="00E91F21"/>
    <w:rsid w:val="00EB6956"/>
    <w:rsid w:val="00EF0D22"/>
    <w:rsid w:val="00F13C69"/>
    <w:rsid w:val="00F41DF6"/>
    <w:rsid w:val="00F52245"/>
    <w:rsid w:val="00F60308"/>
    <w:rsid w:val="00F640D0"/>
    <w:rsid w:val="00F75389"/>
    <w:rsid w:val="00F903E8"/>
    <w:rsid w:val="00FA0C8C"/>
    <w:rsid w:val="00FD07F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27B"/>
    <w:pPr>
      <w:spacing w:after="200" w:line="276" w:lineRule="auto"/>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211B0B"/>
    <w:pPr>
      <w:ind w:left="3686"/>
      <w:jc w:val="both"/>
    </w:pPr>
  </w:style>
  <w:style w:type="paragraph" w:styleId="Encabezado">
    <w:name w:val="header"/>
    <w:basedOn w:val="Normal"/>
    <w:rsid w:val="00211B0B"/>
    <w:pPr>
      <w:tabs>
        <w:tab w:val="center" w:pos="4419"/>
        <w:tab w:val="right" w:pos="8838"/>
      </w:tabs>
      <w:spacing w:after="0" w:line="240" w:lineRule="auto"/>
      <w:jc w:val="both"/>
    </w:pPr>
    <w:rPr>
      <w:rFonts w:ascii="Times New Roman" w:hAnsi="Times New Roman"/>
      <w:sz w:val="24"/>
      <w:szCs w:val="20"/>
      <w:lang w:val="es-ES_tradnl" w:eastAsia="es-ES"/>
    </w:rPr>
  </w:style>
  <w:style w:type="paragraph" w:styleId="Piedepgina">
    <w:name w:val="footer"/>
    <w:basedOn w:val="Normal"/>
    <w:rsid w:val="00211B0B"/>
    <w:pPr>
      <w:tabs>
        <w:tab w:val="center" w:pos="4419"/>
        <w:tab w:val="right" w:pos="8838"/>
      </w:tabs>
      <w:spacing w:after="0" w:line="240" w:lineRule="auto"/>
      <w:jc w:val="both"/>
    </w:pPr>
    <w:rPr>
      <w:rFonts w:ascii="Times New Roman" w:hAnsi="Times New Roman"/>
      <w:sz w:val="24"/>
      <w:szCs w:val="20"/>
      <w:lang w:val="es-ES_tradnl" w:eastAsia="es-ES"/>
    </w:rPr>
  </w:style>
  <w:style w:type="character" w:styleId="Nmerodepgina">
    <w:name w:val="page number"/>
    <w:basedOn w:val="Fuentedeprrafopredeter"/>
    <w:rsid w:val="00211B0B"/>
  </w:style>
  <w:style w:type="character" w:styleId="Hipervnculo">
    <w:name w:val="Hyperlink"/>
    <w:basedOn w:val="Fuentedeprrafopredeter"/>
    <w:uiPriority w:val="99"/>
    <w:unhideWhenUsed/>
    <w:rsid w:val="0087127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enosaires.gob.ar/habitat/institucional/organismos-dependient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legislatura.gov.ar/compras/_vti_bin/shtml.exe/logos.htm/m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ivetolago\AppData\Roaming\Microsoft\Plantillas\Legislatura\Legisla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Legislar.DOT</Template>
  <TotalTime>1</TotalTime>
  <Pages>4</Pages>
  <Words>1403</Words>
  <Characters>7719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Nuevo Proyecto</vt:lpstr>
    </vt:vector>
  </TitlesOfParts>
  <Company>Hewlett-Packard Company</Company>
  <LinksUpToDate>false</LinksUpToDate>
  <CharactersWithSpaces>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paolivetolago</dc:creator>
  <cp:lastModifiedBy>livillamonte</cp:lastModifiedBy>
  <cp:revision>2</cp:revision>
  <cp:lastPrinted>2016-05-19T14:53:00Z</cp:lastPrinted>
  <dcterms:created xsi:type="dcterms:W3CDTF">2016-05-26T14:40:00Z</dcterms:created>
  <dcterms:modified xsi:type="dcterms:W3CDTF">2016-05-26T14:40:00Z</dcterms:modified>
</cp:coreProperties>
</file>