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F" w:rsidRPr="00F82DBF" w:rsidRDefault="00F82DBF" w:rsidP="00081FFF">
      <w:pPr>
        <w:rPr>
          <w:lang w:val="es-MX"/>
        </w:rPr>
      </w:pPr>
    </w:p>
    <w:p w:rsidR="00FC2277" w:rsidRDefault="00FC2277" w:rsidP="00F82DBF">
      <w:pPr>
        <w:jc w:val="center"/>
        <w:rPr>
          <w:b/>
          <w:lang w:val="es-MX"/>
        </w:rPr>
      </w:pPr>
      <w:bookmarkStart w:id="0" w:name="PLey"/>
      <w:bookmarkEnd w:id="0"/>
    </w:p>
    <w:p w:rsidR="00FC2277" w:rsidRDefault="00FC2277" w:rsidP="00F82DBF">
      <w:pPr>
        <w:jc w:val="center"/>
        <w:rPr>
          <w:b/>
          <w:lang w:val="es-MX"/>
        </w:rPr>
      </w:pPr>
    </w:p>
    <w:p w:rsidR="00FC2277" w:rsidRDefault="00FC2277" w:rsidP="00F82DBF">
      <w:pPr>
        <w:jc w:val="center"/>
        <w:rPr>
          <w:b/>
          <w:lang w:val="es-MX"/>
        </w:rPr>
      </w:pPr>
    </w:p>
    <w:p w:rsidR="00FC2277" w:rsidRDefault="00FC2277" w:rsidP="00F82DBF">
      <w:pPr>
        <w:jc w:val="center"/>
        <w:rPr>
          <w:b/>
          <w:lang w:val="es-MX"/>
        </w:rPr>
      </w:pPr>
    </w:p>
    <w:p w:rsidR="00F82DBF" w:rsidRPr="00F82DBF" w:rsidRDefault="00F82DBF" w:rsidP="00F82DBF">
      <w:pPr>
        <w:jc w:val="center"/>
        <w:rPr>
          <w:b/>
          <w:lang w:val="es-MX"/>
        </w:rPr>
      </w:pPr>
      <w:r w:rsidRPr="00F82DBF">
        <w:rPr>
          <w:b/>
          <w:lang w:val="es-MX"/>
        </w:rPr>
        <w:t>PROYECTO DE LEY</w:t>
      </w:r>
    </w:p>
    <w:p w:rsidR="00F82DBF" w:rsidRPr="00F82DBF" w:rsidRDefault="00F82DBF" w:rsidP="00F82DBF">
      <w:pPr>
        <w:rPr>
          <w:b/>
          <w:lang w:val="es-MX"/>
        </w:rPr>
      </w:pPr>
    </w:p>
    <w:p w:rsidR="00F82DBF" w:rsidRPr="005F554A" w:rsidRDefault="00F82DBF" w:rsidP="00F82DBF">
      <w:pPr>
        <w:pStyle w:val="NormalWeb"/>
        <w:shd w:val="clear" w:color="auto" w:fill="FFFFFF"/>
        <w:spacing w:line="360" w:lineRule="auto"/>
        <w:jc w:val="both"/>
        <w:rPr>
          <w:rStyle w:val="Textoennegrita"/>
          <w:b w:val="0"/>
          <w:color w:val="000000"/>
        </w:rPr>
      </w:pPr>
      <w:r w:rsidRPr="005F554A">
        <w:rPr>
          <w:rStyle w:val="Textoennegrita"/>
          <w:color w:val="000000"/>
        </w:rPr>
        <w:t xml:space="preserve">Artículo 1: Modifícase el artículo 14 del anexo I de la ley 325, el que quedará redactado de la siguiente manera: </w:t>
      </w:r>
    </w:p>
    <w:p w:rsidR="00F82DBF" w:rsidRPr="005F554A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5F554A">
        <w:rPr>
          <w:rStyle w:val="Textoennegrita"/>
          <w:color w:val="000000"/>
        </w:rPr>
        <w:t>"Artículo 14:</w:t>
      </w:r>
      <w:r w:rsidRPr="005F554A">
        <w:rPr>
          <w:rStyle w:val="apple-converted-space"/>
          <w:b/>
          <w:bCs/>
          <w:color w:val="000000"/>
        </w:rPr>
        <w:t> </w:t>
      </w:r>
      <w:r w:rsidRPr="005F554A">
        <w:rPr>
          <w:color w:val="000000"/>
        </w:rPr>
        <w:t>Toda vez que, frente al requerimiento de colaboraci</w:t>
      </w:r>
      <w:r>
        <w:rPr>
          <w:color w:val="000000"/>
        </w:rPr>
        <w:t>ón, informes, y / o  documentación</w:t>
      </w:r>
      <w:r w:rsidRPr="005F554A">
        <w:rPr>
          <w:color w:val="000000"/>
        </w:rPr>
        <w:t>, formulado por la Auditoría General de la Ciudad a los fines del cumplimiento de sus funciones, se encuentre una negativa, silencio, tardanza u obstaculización al mismo, el responsable de la auditoría encomendada está obligado a:</w:t>
      </w:r>
    </w:p>
    <w:p w:rsidR="00F82DBF" w:rsidRPr="005F554A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5F554A">
        <w:rPr>
          <w:color w:val="000000"/>
        </w:rPr>
        <w:t>a) Insistir ante las autoridades del organismo enviando una segunda petición acompañada de la primera, mediando entre ambas siete (7) días corridos.</w:t>
      </w:r>
    </w:p>
    <w:p w:rsidR="00F82DBF" w:rsidRDefault="00F82DBF" w:rsidP="00F82DBF">
      <w:pPr>
        <w:pStyle w:val="NormalWeb"/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b) </w:t>
      </w:r>
      <w:r w:rsidRPr="005F554A">
        <w:rPr>
          <w:color w:val="000000"/>
        </w:rPr>
        <w:t>En caso de persistir el silencio, negativa o tardanza del requerido, el máximo responsable de la auditoría informará al Colegio de Auditores sobre tal situación, a través de</w:t>
      </w:r>
      <w:r>
        <w:rPr>
          <w:color w:val="000000"/>
        </w:rPr>
        <w:t xml:space="preserve"> </w:t>
      </w:r>
      <w:r w:rsidRPr="005F554A">
        <w:rPr>
          <w:color w:val="000000"/>
        </w:rPr>
        <w:t>l</w:t>
      </w:r>
      <w:r>
        <w:rPr>
          <w:color w:val="000000"/>
        </w:rPr>
        <w:t>a</w:t>
      </w:r>
      <w:r w:rsidRPr="005F554A">
        <w:rPr>
          <w:color w:val="000000"/>
        </w:rPr>
        <w:t xml:space="preserve"> Director respectivo, una vez transcurridos los siete (7) días corridos contados a partir de la insistencia</w:t>
      </w:r>
      <w:r w:rsidRPr="005F554A">
        <w:rPr>
          <w:b/>
          <w:color w:val="000000"/>
        </w:rPr>
        <w:t>.</w:t>
      </w:r>
    </w:p>
    <w:p w:rsidR="00F82DBF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5F554A">
        <w:rPr>
          <w:color w:val="000000"/>
          <w:u w:val="single"/>
        </w:rPr>
        <w:t>En forma excepcional,</w:t>
      </w:r>
      <w:r>
        <w:rPr>
          <w:color w:val="000000"/>
          <w:u w:val="single"/>
        </w:rPr>
        <w:t xml:space="preserve"> </w:t>
      </w:r>
      <w:r w:rsidRPr="005F554A">
        <w:rPr>
          <w:color w:val="000000"/>
          <w:u w:val="single"/>
        </w:rPr>
        <w:t xml:space="preserve"> el Colegio de Auditores</w:t>
      </w:r>
      <w:r>
        <w:rPr>
          <w:color w:val="000000"/>
          <w:u w:val="single"/>
        </w:rPr>
        <w:t>, dentro del plazo máximo de siete (7) días corridos de que fuera informado del silencio, negativa o tardanza,</w:t>
      </w:r>
      <w:r w:rsidRPr="005F554A">
        <w:rPr>
          <w:color w:val="000000"/>
          <w:u w:val="single"/>
        </w:rPr>
        <w:t xml:space="preserve"> puede ampliar los plazos señalados mediante resolución fundada, en aquellos casos en que las circunstancias lo requieran y siempre que existan razones concretas que lo justifiquen.</w:t>
      </w:r>
      <w:r>
        <w:rPr>
          <w:color w:val="000000"/>
          <w:u w:val="single"/>
        </w:rPr>
        <w:t xml:space="preserve"> En caso de silencio por parte del Colegio de Auditores se entiende que el plazo no fue concedido. </w:t>
      </w:r>
    </w:p>
    <w:p w:rsidR="00F82DBF" w:rsidRPr="00152B01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La ampliación del plazo no puede exceder los siete (7) días corridos.  </w:t>
      </w:r>
      <w:r w:rsidRPr="005F554A">
        <w:rPr>
          <w:color w:val="000000"/>
          <w:u w:val="single"/>
        </w:rPr>
        <w:t xml:space="preserve"> </w:t>
      </w:r>
    </w:p>
    <w:p w:rsidR="00F82DBF" w:rsidRPr="005F554A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c) </w:t>
      </w:r>
      <w:r w:rsidRPr="005F554A">
        <w:rPr>
          <w:color w:val="000000"/>
        </w:rPr>
        <w:t>En caso que no se amplíen los plazos señalados, o si persiste el incumplimiento pese a la prórroga concedida, el Colegio de Audito</w:t>
      </w:r>
      <w:r>
        <w:rPr>
          <w:color w:val="000000"/>
        </w:rPr>
        <w:t>res debe emitir el acto</w:t>
      </w:r>
      <w:r w:rsidRPr="005F554A">
        <w:rPr>
          <w:color w:val="000000"/>
        </w:rPr>
        <w:t xml:space="preserve"> correspondiente, remitiéndolo a la máxima autoridad del organismo o entidad de que se trate, </w:t>
      </w:r>
      <w:r w:rsidRPr="005F554A">
        <w:rPr>
          <w:color w:val="000000"/>
          <w:u w:val="single"/>
        </w:rPr>
        <w:t xml:space="preserve">solicitando que, en un plazo máximo de tres (3) días, envíe la información solicitada e instando la iniciación del sumario pertinente. </w:t>
      </w:r>
    </w:p>
    <w:p w:rsidR="00F82DBF" w:rsidRPr="005F554A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5F554A">
        <w:rPr>
          <w:color w:val="000000"/>
          <w:u w:val="single"/>
        </w:rPr>
        <w:t>Una vez vencido el plazo señalado sin respuesta, la Auditoría debe iniciar las acciones judiciales pertinentes.</w:t>
      </w:r>
    </w:p>
    <w:p w:rsidR="00F82DBF" w:rsidRPr="005F554A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5F554A">
        <w:rPr>
          <w:color w:val="000000"/>
        </w:rPr>
        <w:lastRenderedPageBreak/>
        <w:t>Tanto e</w:t>
      </w:r>
      <w:r>
        <w:rPr>
          <w:color w:val="000000"/>
        </w:rPr>
        <w:t>l acto</w:t>
      </w:r>
      <w:r w:rsidRPr="005F554A">
        <w:rPr>
          <w:color w:val="000000"/>
        </w:rPr>
        <w:t xml:space="preserve"> emitido solicitando el envío de información, como el escrito de inicio de las acciones judiciales referido en el artículo anterior, debe</w:t>
      </w:r>
      <w:r>
        <w:rPr>
          <w:color w:val="000000"/>
        </w:rPr>
        <w:t xml:space="preserve"> </w:t>
      </w:r>
      <w:r w:rsidRPr="005F554A">
        <w:rPr>
          <w:color w:val="000000"/>
        </w:rPr>
        <w:t>ser también remitido a la Legislatura, a la Sindicatura General de la Ciudad y a la Procuración General".</w:t>
      </w:r>
    </w:p>
    <w:p w:rsidR="00F82DBF" w:rsidRPr="005F554A" w:rsidRDefault="00F82DBF" w:rsidP="00F82DBF"/>
    <w:p w:rsidR="00FC2277" w:rsidRDefault="00FC2277" w:rsidP="00FC2277">
      <w:r>
        <w:t xml:space="preserve">                                                  </w:t>
      </w:r>
    </w:p>
    <w:p w:rsidR="00FC2277" w:rsidRDefault="00FC2277" w:rsidP="00FC2277"/>
    <w:p w:rsidR="00FC2277" w:rsidRDefault="00FC2277" w:rsidP="00FC2277"/>
    <w:p w:rsidR="00FC2277" w:rsidRDefault="00FC2277" w:rsidP="00FC2277"/>
    <w:p w:rsidR="00FC2277" w:rsidRDefault="00FC2277" w:rsidP="00FC2277"/>
    <w:p w:rsidR="00FC2277" w:rsidRDefault="00FC2277" w:rsidP="00FC2277"/>
    <w:p w:rsidR="00FC2277" w:rsidRDefault="00FC2277" w:rsidP="00FC2277"/>
    <w:p w:rsidR="00FC2277" w:rsidRDefault="00FC2277" w:rsidP="00FC2277"/>
    <w:p w:rsidR="00FC2277" w:rsidRDefault="00FC2277" w:rsidP="00FC2277"/>
    <w:p w:rsidR="00FC2277" w:rsidRDefault="00FC2277" w:rsidP="00FC2277"/>
    <w:p w:rsidR="00FC2277" w:rsidRDefault="00FC2277" w:rsidP="00FC2277"/>
    <w:p w:rsidR="00F82DBF" w:rsidRPr="005F554A" w:rsidRDefault="00FC2277" w:rsidP="00FC2277">
      <w:pPr>
        <w:rPr>
          <w:b/>
          <w:u w:val="single"/>
        </w:rPr>
      </w:pPr>
      <w:r>
        <w:t xml:space="preserve">                                                 </w:t>
      </w:r>
      <w:r w:rsidR="00F82DBF" w:rsidRPr="005F554A">
        <w:rPr>
          <w:b/>
          <w:u w:val="single"/>
        </w:rPr>
        <w:t>FUNDAMENTOS</w:t>
      </w:r>
    </w:p>
    <w:p w:rsidR="00FC2277" w:rsidRDefault="00FC2277" w:rsidP="00F82DBF">
      <w:pPr>
        <w:spacing w:line="360" w:lineRule="auto"/>
        <w:rPr>
          <w:szCs w:val="24"/>
        </w:rPr>
      </w:pPr>
    </w:p>
    <w:p w:rsidR="00FC2277" w:rsidRDefault="00FC2277" w:rsidP="00F82DBF">
      <w:pPr>
        <w:spacing w:line="360" w:lineRule="auto"/>
        <w:rPr>
          <w:szCs w:val="24"/>
        </w:rPr>
      </w:pP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>Señora Presidente: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    La Constitución de la Ciudad de Buenos Aires instituye un sistema de control integral e integrado del sector público, que abarca tanto un control interno y </w:t>
      </w:r>
      <w:r>
        <w:rPr>
          <w:szCs w:val="24"/>
        </w:rPr>
        <w:t xml:space="preserve">como </w:t>
      </w:r>
      <w:r w:rsidRPr="00E34CC5">
        <w:rPr>
          <w:szCs w:val="24"/>
        </w:rPr>
        <w:t xml:space="preserve">otro externo, que se encuentran a cargo de la Sindicatura General y la Auditoría General, en forma respectiva. 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   De esta manera, el </w:t>
      </w:r>
      <w:r w:rsidRPr="00C40A21">
        <w:rPr>
          <w:b/>
          <w:szCs w:val="24"/>
        </w:rPr>
        <w:t>artículo 135 de la Carta Magna</w:t>
      </w:r>
      <w:r w:rsidRPr="00E34CC5">
        <w:rPr>
          <w:szCs w:val="24"/>
        </w:rPr>
        <w:t xml:space="preserve"> crea la Auditoría General de la Ciudad de Buenos Aires (AGCBA) que es un organismo con personería jurídica, legitimación procesal y autonomía funcional y financiera que depende de la Legislatura, cuyas funciones son las siguientes: 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>1) Ejercer el control externo del sector público en los aspectos económicos, financieros, patrimoniales y de gestión.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 xml:space="preserve">2) Ejercer el control de legalidad del desempeño de la administración. Esta coyuntura genera que la AGCBA sea un organismo de control jurídico además de económico. 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 xml:space="preserve">3) Emitir dictámenes sobre los estados contables financieros de la Administración Pública, incluso sobre la gestión patrimonial de los poderes Legislativo y Judicial. 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 xml:space="preserve">4) Verificar la correcta aplicación de los recursos públicos otorgados como aportes o subsidios, incluso aquellos que son destinados a los partidos políticos. 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Posteriormente, la </w:t>
      </w:r>
      <w:r w:rsidRPr="00C40A21">
        <w:rPr>
          <w:b/>
          <w:szCs w:val="24"/>
        </w:rPr>
        <w:t>ley 70 de Sistemas de Gestión, Administración Financiera y Control del Sector Público de la Ciudad</w:t>
      </w:r>
      <w:r>
        <w:rPr>
          <w:szCs w:val="24"/>
        </w:rPr>
        <w:t xml:space="preserve"> reglament</w:t>
      </w:r>
      <w:r w:rsidRPr="00E34CC5">
        <w:rPr>
          <w:szCs w:val="24"/>
        </w:rPr>
        <w:t>ó la manda constitucional, especificando las comp</w:t>
      </w:r>
      <w:r>
        <w:rPr>
          <w:szCs w:val="24"/>
        </w:rPr>
        <w:t>etencias de la AGCBA y</w:t>
      </w:r>
      <w:r w:rsidRPr="00E34CC5">
        <w:rPr>
          <w:szCs w:val="24"/>
        </w:rPr>
        <w:t xml:space="preserve">, a fines del año 1999, esta Legislatura sancionó la </w:t>
      </w:r>
      <w:r w:rsidRPr="00C40A21">
        <w:rPr>
          <w:b/>
          <w:szCs w:val="24"/>
        </w:rPr>
        <w:t>ley 325</w:t>
      </w:r>
      <w:r w:rsidRPr="00E34CC5">
        <w:rPr>
          <w:szCs w:val="24"/>
        </w:rPr>
        <w:t xml:space="preserve"> que aprueba las normas de la Auditoría General de la Ciudad de Buenos Aires</w:t>
      </w:r>
      <w:r>
        <w:rPr>
          <w:szCs w:val="24"/>
        </w:rPr>
        <w:t>, las que establecen su organización interna</w:t>
      </w:r>
      <w:r w:rsidRPr="00E34CC5">
        <w:rPr>
          <w:szCs w:val="24"/>
        </w:rPr>
        <w:t xml:space="preserve">. 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lastRenderedPageBreak/>
        <w:tab/>
      </w:r>
      <w:r w:rsidRPr="00E34CC5">
        <w:rPr>
          <w:szCs w:val="24"/>
        </w:rPr>
        <w:tab/>
        <w:t>En este marco, el objeto del presente proyecto</w:t>
      </w:r>
      <w:r>
        <w:rPr>
          <w:szCs w:val="24"/>
        </w:rPr>
        <w:t xml:space="preserve"> de ley es modificar </w:t>
      </w:r>
      <w:r w:rsidRPr="00E34CC5">
        <w:rPr>
          <w:szCs w:val="24"/>
        </w:rPr>
        <w:t xml:space="preserve">el artículo </w:t>
      </w:r>
      <w:r w:rsidRPr="004369DE">
        <w:rPr>
          <w:b/>
          <w:szCs w:val="24"/>
        </w:rPr>
        <w:t>14 del Anexo I de la ley 325</w:t>
      </w:r>
      <w:r w:rsidRPr="00E34CC5">
        <w:rPr>
          <w:szCs w:val="24"/>
        </w:rPr>
        <w:t xml:space="preserve"> que establece las facultades de la AGCBA en aquellos casos en los que ante el requerimiento de colaboración, informes, documentación formulado a los fines del cumplimiento de sus funciones, se encuentre con una negativa, silencio, tardanza u obstaculización</w:t>
      </w:r>
      <w:r>
        <w:rPr>
          <w:szCs w:val="24"/>
        </w:rPr>
        <w:t xml:space="preserve"> del organismo auditado</w:t>
      </w:r>
      <w:r w:rsidRPr="00E34CC5">
        <w:rPr>
          <w:szCs w:val="24"/>
        </w:rPr>
        <w:t xml:space="preserve">. Se pretende a través de la presente iniciativa, dotar al organismo de control externo de la CABA de mayores y mejores herramientas para el cumplimiento de sus funciones. 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>Mi exper</w:t>
      </w:r>
      <w:r>
        <w:rPr>
          <w:szCs w:val="24"/>
        </w:rPr>
        <w:t xml:space="preserve">iencia </w:t>
      </w:r>
      <w:r w:rsidRPr="00E34CC5">
        <w:rPr>
          <w:szCs w:val="24"/>
        </w:rPr>
        <w:t>e</w:t>
      </w:r>
      <w:r>
        <w:rPr>
          <w:szCs w:val="24"/>
        </w:rPr>
        <w:t>n</w:t>
      </w:r>
      <w:r w:rsidRPr="00E34CC5">
        <w:rPr>
          <w:szCs w:val="24"/>
        </w:rPr>
        <w:t xml:space="preserve"> seis años como auditora</w:t>
      </w:r>
      <w:r>
        <w:rPr>
          <w:szCs w:val="24"/>
        </w:rPr>
        <w:t xml:space="preserve"> general y de</w:t>
      </w:r>
      <w:r w:rsidRPr="00E34CC5">
        <w:rPr>
          <w:szCs w:val="24"/>
        </w:rPr>
        <w:t xml:space="preserve"> casi ocho años como trabajadora de planta en ese el organismo de control, me</w:t>
      </w:r>
      <w:r>
        <w:rPr>
          <w:szCs w:val="24"/>
        </w:rPr>
        <w:t xml:space="preserve"> demostró</w:t>
      </w:r>
      <w:r w:rsidRPr="00E34CC5">
        <w:rPr>
          <w:szCs w:val="24"/>
        </w:rPr>
        <w:t xml:space="preserve"> que la actual redacción del artículo 14 del Anexo I de la ley 325 resulta insuficiente para obtener la información adecuada para el correcto desarrollo de</w:t>
      </w:r>
      <w:r>
        <w:rPr>
          <w:szCs w:val="24"/>
        </w:rPr>
        <w:t xml:space="preserve"> la</w:t>
      </w:r>
      <w:r w:rsidRPr="00E34CC5">
        <w:rPr>
          <w:szCs w:val="24"/>
        </w:rPr>
        <w:t>s funciones</w:t>
      </w:r>
      <w:r>
        <w:rPr>
          <w:szCs w:val="24"/>
        </w:rPr>
        <w:t xml:space="preserve"> de la Auditoría</w:t>
      </w:r>
      <w:r w:rsidRPr="00E34CC5">
        <w:rPr>
          <w:szCs w:val="24"/>
        </w:rPr>
        <w:t xml:space="preserve">. Por ello, sugiero a través de la presente iniciativa legislativa una serie de modificaciones a la normativa a los fines de profundizar </w:t>
      </w:r>
      <w:r>
        <w:rPr>
          <w:szCs w:val="24"/>
        </w:rPr>
        <w:t>la posibilidad de la AGCBA de ejercer sus</w:t>
      </w:r>
      <w:r w:rsidRPr="00E34CC5">
        <w:rPr>
          <w:szCs w:val="24"/>
        </w:rPr>
        <w:t xml:space="preserve"> compe</w:t>
      </w:r>
      <w:r>
        <w:rPr>
          <w:szCs w:val="24"/>
        </w:rPr>
        <w:t xml:space="preserve">tencias </w:t>
      </w:r>
      <w:r w:rsidRPr="00E34CC5">
        <w:rPr>
          <w:szCs w:val="24"/>
        </w:rPr>
        <w:t xml:space="preserve">y hacer efectivo el cumplimiento de la obligación prescripta en la Constitución  que tienen los agentes, autoridades y titulares de organismos y entes de proveerle la información que les requiera.    </w:t>
      </w:r>
    </w:p>
    <w:p w:rsidR="00F82DBF" w:rsidRDefault="00F82DBF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    En primer término, sugiero que la ampliación de los plazos otorgada por el Colegio de Auditores sólo pueda darse en forma excepcional, mediante resolución fundada, </w:t>
      </w:r>
      <w:r>
        <w:rPr>
          <w:szCs w:val="24"/>
        </w:rPr>
        <w:t xml:space="preserve"> dentro de un plazo determinado, </w:t>
      </w:r>
      <w:r w:rsidRPr="00E34CC5">
        <w:rPr>
          <w:szCs w:val="24"/>
        </w:rPr>
        <w:t>en aquellos casos  en que las circunstancias lo requieran y siempre que existen razones concretas que lo justifiquen</w:t>
      </w:r>
      <w:r>
        <w:rPr>
          <w:szCs w:val="24"/>
        </w:rPr>
        <w:t xml:space="preserve"> y que el silencio de la máxima autoridad de la AGCBA sea entendida como una denegatoria a la prórroga</w:t>
      </w:r>
      <w:r w:rsidRPr="00E34CC5">
        <w:rPr>
          <w:szCs w:val="24"/>
        </w:rPr>
        <w:t>.</w:t>
      </w:r>
      <w:r>
        <w:rPr>
          <w:szCs w:val="24"/>
        </w:rPr>
        <w:t xml:space="preserve"> </w:t>
      </w:r>
    </w:p>
    <w:p w:rsidR="00F82DBF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Propongo además, que en caso que no se amplíen los plazos o si persiste el incumplimiento por parte del auditado, el Colegio de Auditores deba emitir el acto administrativo correspondiente y remitirlo a la máxima autoridad del organismo auditado, intimándolo a que en un plazo máximo de 3 días envíe la información solicitada e instándolo a la realización del sumario respectivo. </w:t>
      </w:r>
    </w:p>
    <w:p w:rsidR="00F82DBF" w:rsidRDefault="00F82DBF" w:rsidP="00F82DBF">
      <w:pPr>
        <w:spacing w:line="360" w:lineRule="auto"/>
        <w:rPr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szCs w:val="24"/>
        </w:rPr>
        <w:t xml:space="preserve">En caso de no responderse el requerimiento mencionado en el artículo anterior, se obliga a la Auditoría a iniciar las acciones judiciales derivadas del incumplimiento de la obligación de los funcionarios de brindar información. Es decir, a través de la presente iniciativa planteo agregar una instancia más a los fines de conseguir la información que permita a la AGCBA el logro de sus objetivos, pero se propone establecer la obligación ineludible del organismo de iniciar las acciones judiciales pertinentes a los fines de deslindar responsabilidades por la omisión de la información.  </w:t>
      </w:r>
    </w:p>
    <w:p w:rsidR="00F82DBF" w:rsidRPr="00152B01" w:rsidRDefault="00F82DBF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En este punto, creo necesario recordar que la Auditoría tiene legitimación procesal, y que, además, la ley 70 la autoriza a d</w:t>
      </w:r>
      <w:r w:rsidRPr="00FB1C98">
        <w:rPr>
          <w:color w:val="000000"/>
        </w:rPr>
        <w:t xml:space="preserve">emandar judicialmente conforme al Artículo113 de </w:t>
      </w:r>
      <w:r>
        <w:rPr>
          <w:color w:val="000000"/>
        </w:rPr>
        <w:t xml:space="preserve">la Constitución de la Ciudad de </w:t>
      </w:r>
      <w:r w:rsidRPr="00FB1C98">
        <w:rPr>
          <w:color w:val="000000"/>
        </w:rPr>
        <w:t>Buenos Aires</w:t>
      </w:r>
      <w:r>
        <w:rPr>
          <w:color w:val="000000"/>
        </w:rPr>
        <w:t>.</w:t>
      </w:r>
    </w:p>
    <w:p w:rsidR="00F82DBF" w:rsidRPr="00E34CC5" w:rsidRDefault="00F82DBF" w:rsidP="00F82DBF">
      <w:pPr>
        <w:spacing w:line="36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 Por último, se establece que t</w:t>
      </w:r>
      <w:r w:rsidRPr="00E34CC5">
        <w:rPr>
          <w:szCs w:val="24"/>
        </w:rPr>
        <w:t>anto el acto emitido solicitando el envío de información, como el escrito de inicio de las acciones judiciales referido en el artículo anterior, debe ser también remitido</w:t>
      </w:r>
      <w:r>
        <w:rPr>
          <w:szCs w:val="24"/>
        </w:rPr>
        <w:t xml:space="preserve"> Procuración, además de la Legislatura, y</w:t>
      </w:r>
      <w:r w:rsidRPr="00E34CC5">
        <w:rPr>
          <w:szCs w:val="24"/>
        </w:rPr>
        <w:t xml:space="preserve"> la Sindicatura General de la Ci</w:t>
      </w:r>
      <w:r>
        <w:rPr>
          <w:szCs w:val="24"/>
        </w:rPr>
        <w:t>udad.</w:t>
      </w:r>
    </w:p>
    <w:p w:rsidR="00F82DBF" w:rsidRDefault="00F82DBF" w:rsidP="00F82DBF">
      <w:r>
        <w:tab/>
      </w:r>
      <w:r>
        <w:tab/>
        <w:t xml:space="preserve"> </w:t>
      </w:r>
    </w:p>
    <w:p w:rsidR="00F82DBF" w:rsidRPr="00A42C08" w:rsidRDefault="00F82DBF" w:rsidP="00F82DBF">
      <w:pPr>
        <w:spacing w:line="360" w:lineRule="auto"/>
        <w:rPr>
          <w:szCs w:val="24"/>
        </w:rPr>
      </w:pPr>
      <w:r>
        <w:tab/>
      </w:r>
      <w:r>
        <w:tab/>
      </w:r>
      <w:r w:rsidRPr="00A42C08">
        <w:rPr>
          <w:szCs w:val="24"/>
        </w:rPr>
        <w:t xml:space="preserve">  Por todo lo expuesto, y con el objeto </w:t>
      </w:r>
      <w:r>
        <w:rPr>
          <w:szCs w:val="24"/>
        </w:rPr>
        <w:t xml:space="preserve">de fortalecer el modelo de control integral establecido por la Constitución de la Ciudad de Buenos Aires, es que solicito a los Sres. Diputados que acompañen el presente proyecto de ley. </w:t>
      </w:r>
    </w:p>
    <w:p w:rsidR="00F82DBF" w:rsidRPr="00A42C08" w:rsidRDefault="00F82DBF" w:rsidP="00F82DBF">
      <w:pPr>
        <w:spacing w:line="360" w:lineRule="auto"/>
        <w:rPr>
          <w:szCs w:val="24"/>
        </w:rPr>
      </w:pPr>
    </w:p>
    <w:p w:rsidR="00B177FE" w:rsidRPr="00F82DBF" w:rsidRDefault="00B177FE" w:rsidP="00081FFF">
      <w:pPr>
        <w:rPr>
          <w:lang w:val="es-MX"/>
        </w:rPr>
      </w:pPr>
    </w:p>
    <w:p w:rsidR="00AF6352" w:rsidRPr="00F82DBF" w:rsidRDefault="00AF6352" w:rsidP="00081FFF">
      <w:pPr>
        <w:rPr>
          <w:lang w:val="es-MX"/>
        </w:rPr>
      </w:pPr>
    </w:p>
    <w:sectPr w:rsidR="00AF6352" w:rsidRPr="00F82DBF" w:rsidSect="00B8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CB" w:rsidRDefault="005720CB">
      <w:r>
        <w:separator/>
      </w:r>
    </w:p>
  </w:endnote>
  <w:endnote w:type="continuationSeparator" w:id="1">
    <w:p w:rsidR="005720CB" w:rsidRDefault="0057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BF" w:rsidRDefault="00F82D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F82DBF" w:rsidRDefault="00601A75">
    <w:pPr>
      <w:pStyle w:val="Piedepgina"/>
      <w:rPr>
        <w:color w:val="333333"/>
        <w:sz w:val="20"/>
      </w:rPr>
    </w:pPr>
    <w:bookmarkStart w:id="1" w:name="Proyecto"/>
    <w:bookmarkEnd w:id="1"/>
  </w:p>
  <w:p w:rsidR="00601A75" w:rsidRPr="00F82DBF" w:rsidRDefault="00601A75">
    <w:pPr>
      <w:pStyle w:val="Piedepgina"/>
      <w:rPr>
        <w:color w:val="333333"/>
        <w:sz w:val="20"/>
      </w:rPr>
    </w:pPr>
    <w:r w:rsidRPr="00F82DBF">
      <w:rPr>
        <w:color w:val="333333"/>
        <w:sz w:val="20"/>
      </w:rPr>
      <w:t xml:space="preserve">Último cambio: </w:t>
    </w:r>
    <w:fldSimple w:instr=" SAVEDATE  \* MERGEFORMAT ">
      <w:r w:rsidR="008E30AA" w:rsidRPr="008E30AA">
        <w:rPr>
          <w:noProof/>
          <w:color w:val="333333"/>
          <w:sz w:val="20"/>
        </w:rPr>
        <w:t>01/03/2017 11:08:00</w:t>
      </w:r>
    </w:fldSimple>
    <w:r w:rsidRPr="00F82DBF">
      <w:rPr>
        <w:color w:val="333333"/>
        <w:sz w:val="20"/>
      </w:rPr>
      <w:t xml:space="preserve">  -  Cantidad de caracteres: </w:t>
    </w:r>
    <w:r w:rsidR="00F82DBF">
      <w:rPr>
        <w:color w:val="333333"/>
        <w:sz w:val="20"/>
      </w:rPr>
      <w:t>5977</w:t>
    </w:r>
    <w:r w:rsidRPr="00F82DBF">
      <w:rPr>
        <w:color w:val="333333"/>
        <w:sz w:val="20"/>
      </w:rPr>
      <w:t xml:space="preserve"> - Cantidad de palabras: </w:t>
    </w:r>
    <w:fldSimple w:instr=" NUMWORDS  \* MERGEFORMAT ">
      <w:r w:rsidR="00F82DBF">
        <w:rPr>
          <w:noProof/>
          <w:color w:val="333333"/>
          <w:sz w:val="20"/>
        </w:rPr>
        <w:t>1131</w:t>
      </w:r>
    </w:fldSimple>
  </w:p>
  <w:p w:rsidR="00601A75" w:rsidRPr="00F82DBF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F82DBF">
      <w:rPr>
        <w:color w:val="333333"/>
        <w:sz w:val="20"/>
      </w:rPr>
      <w:tab/>
      <w:t>Pág.</w:t>
    </w:r>
    <w:r w:rsidRPr="00F82DBF">
      <w:rPr>
        <w:color w:val="333333"/>
      </w:rPr>
      <w:t xml:space="preserve"> </w:t>
    </w:r>
    <w:r w:rsidR="00F25F87" w:rsidRPr="00F82DBF">
      <w:rPr>
        <w:rStyle w:val="Nmerodepgina"/>
        <w:color w:val="333333"/>
      </w:rPr>
      <w:fldChar w:fldCharType="begin"/>
    </w:r>
    <w:r w:rsidRPr="00F82DBF">
      <w:rPr>
        <w:rStyle w:val="Nmerodepgina"/>
        <w:color w:val="333333"/>
      </w:rPr>
      <w:instrText xml:space="preserve"> PAGE </w:instrText>
    </w:r>
    <w:r w:rsidR="00F25F87" w:rsidRPr="00F82DBF">
      <w:rPr>
        <w:rStyle w:val="Nmerodepgina"/>
        <w:color w:val="333333"/>
      </w:rPr>
      <w:fldChar w:fldCharType="separate"/>
    </w:r>
    <w:r w:rsidR="008E30AA">
      <w:rPr>
        <w:rStyle w:val="Nmerodepgina"/>
        <w:noProof/>
        <w:color w:val="333333"/>
      </w:rPr>
      <w:t>1</w:t>
    </w:r>
    <w:r w:rsidR="00F25F87" w:rsidRPr="00F82DBF">
      <w:rPr>
        <w:rStyle w:val="Nmerodepgina"/>
        <w:color w:val="333333"/>
      </w:rPr>
      <w:fldChar w:fldCharType="end"/>
    </w:r>
    <w:r w:rsidRPr="00F82DBF">
      <w:rPr>
        <w:rStyle w:val="Nmerodepgina"/>
        <w:color w:val="333333"/>
      </w:rPr>
      <w:t>/</w:t>
    </w:r>
    <w:fldSimple w:instr=" NUMPAGES  \* MERGEFORMAT ">
      <w:r w:rsidR="008E30AA" w:rsidRPr="008E30AA">
        <w:rPr>
          <w:rStyle w:val="Nmerodepgina"/>
          <w:noProof/>
          <w:color w:val="333333"/>
        </w:rPr>
        <w:t>4</w:t>
      </w:r>
    </w:fldSimple>
    <w:r w:rsidRPr="00F82DBF">
      <w:rPr>
        <w:rStyle w:val="Nmerodepgina"/>
        <w:color w:val="333333"/>
      </w:rPr>
      <w:t xml:space="preserve"> </w:t>
    </w:r>
  </w:p>
  <w:p w:rsidR="00601A75" w:rsidRPr="00F82DBF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BF" w:rsidRDefault="00F82D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CB" w:rsidRDefault="005720CB">
      <w:r>
        <w:separator/>
      </w:r>
    </w:p>
  </w:footnote>
  <w:footnote w:type="continuationSeparator" w:id="1">
    <w:p w:rsidR="005720CB" w:rsidRDefault="00572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BF" w:rsidRDefault="00F82D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F82DBF" w:rsidP="00B85EE2">
    <w:pPr>
      <w:pStyle w:val="Encabezado"/>
      <w:jc w:val="right"/>
      <w:rPr>
        <w:i/>
        <w:color w:val="000000"/>
        <w:shd w:val="clear" w:color="auto" w:fill="FFFFFF"/>
      </w:rPr>
    </w:pPr>
    <w:r>
      <w:rPr>
        <w:noProof/>
        <w:lang w:val="es-AR" w:eastAsia="es-AR"/>
      </w:rPr>
      <w:drawing>
        <wp:inline distT="0" distB="0" distL="0" distR="0">
          <wp:extent cx="2709545" cy="802640"/>
          <wp:effectExtent l="19050" t="0" r="0" b="0"/>
          <wp:docPr id="1" name="Imagen 1" descr="logo legislatura nuev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gislatur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BF" w:rsidRDefault="00F82DB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595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20CB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72ED4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2595"/>
    <w:rsid w:val="008B4536"/>
    <w:rsid w:val="008C4AC3"/>
    <w:rsid w:val="008E30AA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D36B6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3C69"/>
    <w:rsid w:val="00F25F87"/>
    <w:rsid w:val="00F41DF6"/>
    <w:rsid w:val="00F52245"/>
    <w:rsid w:val="00F60308"/>
    <w:rsid w:val="00F640D0"/>
    <w:rsid w:val="00F75389"/>
    <w:rsid w:val="00F82DBF"/>
    <w:rsid w:val="00F903E8"/>
    <w:rsid w:val="00FA0C8C"/>
    <w:rsid w:val="00FC2277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95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8B2595"/>
    <w:pPr>
      <w:ind w:left="3686"/>
    </w:pPr>
  </w:style>
  <w:style w:type="paragraph" w:styleId="Encabezado">
    <w:name w:val="header"/>
    <w:basedOn w:val="Normal"/>
    <w:rsid w:val="008B25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B259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B2595"/>
  </w:style>
  <w:style w:type="paragraph" w:styleId="NormalWeb">
    <w:name w:val="Normal (Web)"/>
    <w:basedOn w:val="Normal"/>
    <w:uiPriority w:val="99"/>
    <w:unhideWhenUsed/>
    <w:rsid w:val="00F82DBF"/>
    <w:pPr>
      <w:spacing w:before="100" w:beforeAutospacing="1" w:after="100" w:afterAutospacing="1"/>
      <w:jc w:val="left"/>
    </w:pPr>
    <w:rPr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F82DBF"/>
    <w:rPr>
      <w:b/>
      <w:bCs/>
    </w:rPr>
  </w:style>
  <w:style w:type="character" w:customStyle="1" w:styleId="apple-converted-space">
    <w:name w:val="apple-converted-space"/>
    <w:basedOn w:val="Fuentedeprrafopredeter"/>
    <w:rsid w:val="00F82DBF"/>
  </w:style>
  <w:style w:type="paragraph" w:styleId="Textodeglobo">
    <w:name w:val="Balloon Text"/>
    <w:basedOn w:val="Normal"/>
    <w:link w:val="TextodegloboCar"/>
    <w:uiPriority w:val="99"/>
    <w:semiHidden/>
    <w:unhideWhenUsed/>
    <w:rsid w:val="00FC2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277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4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paolivetolago</dc:creator>
  <cp:lastModifiedBy>livillamonte</cp:lastModifiedBy>
  <cp:revision>2</cp:revision>
  <cp:lastPrinted>2015-05-14T16:53:00Z</cp:lastPrinted>
  <dcterms:created xsi:type="dcterms:W3CDTF">2017-03-06T17:49:00Z</dcterms:created>
  <dcterms:modified xsi:type="dcterms:W3CDTF">2017-03-06T17:49:00Z</dcterms:modified>
</cp:coreProperties>
</file>