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7" w:rsidRDefault="00AF2FC7" w:rsidP="00AF2F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PROYECTO DE LEY</w:t>
      </w:r>
    </w:p>
    <w:p w:rsidR="00AF2FC7" w:rsidRDefault="00AF2FC7" w:rsidP="00AF2F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2FC7" w:rsidRPr="00F24ACA" w:rsidRDefault="00AF2FC7" w:rsidP="00AF2F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4ACA">
        <w:rPr>
          <w:rFonts w:ascii="Times New Roman" w:hAnsi="Times New Roman"/>
          <w:b/>
          <w:sz w:val="24"/>
          <w:szCs w:val="24"/>
        </w:rPr>
        <w:t>Artículo 1º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Modifíquese el artículo 3 de la ley 1.040, el que quedará redactado de la siguiente manera: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Pr="00F24ACA">
        <w:rPr>
          <w:rFonts w:ascii="Times New Roman" w:hAnsi="Times New Roman"/>
          <w:b/>
          <w:sz w:val="24"/>
          <w:szCs w:val="24"/>
        </w:rPr>
        <w:t>Artículo 3º</w:t>
      </w:r>
      <w:r>
        <w:rPr>
          <w:rFonts w:ascii="Times New Roman" w:hAnsi="Times New Roman"/>
          <w:b/>
          <w:sz w:val="24"/>
          <w:szCs w:val="24"/>
        </w:rPr>
        <w:t>:</w:t>
      </w:r>
      <w:r w:rsidRPr="00F24ACA">
        <w:rPr>
          <w:rFonts w:ascii="Times New Roman" w:hAnsi="Times New Roman"/>
          <w:sz w:val="24"/>
          <w:szCs w:val="24"/>
        </w:rPr>
        <w:t xml:space="preserve"> Todos los efectores del sistema de salud</w:t>
      </w:r>
      <w:r>
        <w:rPr>
          <w:rFonts w:ascii="Times New Roman" w:hAnsi="Times New Roman"/>
          <w:sz w:val="24"/>
          <w:szCs w:val="24"/>
        </w:rPr>
        <w:t>, ya sea del sector estatal, privado o de la seguridad social,</w:t>
      </w:r>
      <w:r w:rsidRPr="00F24ACA">
        <w:rPr>
          <w:rFonts w:ascii="Times New Roman" w:hAnsi="Times New Roman"/>
          <w:sz w:val="24"/>
          <w:szCs w:val="24"/>
        </w:rPr>
        <w:t xml:space="preserve"> deberán implementar en el subsector público las medidas necesarias para capacitar al personal profesional y no profesional, adecuar los recursos físicos y la estructura organizativa a esta modalidad</w:t>
      </w:r>
      <w:r>
        <w:rPr>
          <w:rFonts w:ascii="Times New Roman" w:hAnsi="Times New Roman"/>
          <w:sz w:val="24"/>
          <w:szCs w:val="24"/>
        </w:rPr>
        <w:t>"</w:t>
      </w:r>
      <w:r w:rsidRPr="00F24ACA">
        <w:rPr>
          <w:rFonts w:ascii="Times New Roman" w:hAnsi="Times New Roman"/>
          <w:sz w:val="24"/>
          <w:szCs w:val="24"/>
        </w:rPr>
        <w:t>.</w:t>
      </w:r>
    </w:p>
    <w:p w:rsidR="00AF2FC7" w:rsidRPr="002624D0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Artículo 2°: </w:t>
      </w:r>
      <w:r>
        <w:rPr>
          <w:rFonts w:ascii="Times New Roman" w:hAnsi="Times New Roman"/>
          <w:sz w:val="24"/>
          <w:szCs w:val="24"/>
        </w:rPr>
        <w:t>Incorpórese el artículo 4 a la ley 1.040, el que quedará redactado de la siguiente manera: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"Artículo 4°: </w:t>
      </w:r>
      <w:r w:rsidRPr="00A575B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Ministerio de Salud, o el organismo que en el futuro lo reemplace, deberá impulsar campañas de difusión de la presente ley, ya sea mediante medios de comunicación masiva, como así también a través de la provisión de difusión gráfica a los efectores del sistema de salud, los que estarán obligados a exhibirlo en un lugar visible en los sitios de atención al público".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Artículo 3°: </w:t>
      </w:r>
      <w:r>
        <w:rPr>
          <w:rFonts w:ascii="Times New Roman" w:hAnsi="Times New Roman"/>
          <w:sz w:val="24"/>
          <w:szCs w:val="24"/>
        </w:rPr>
        <w:t xml:space="preserve">Incorpórese el artículo 5 a la ley 1.040, el que quedará redactado de la siguiente manera: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"Artículo 5º: </w:t>
      </w:r>
      <w:r>
        <w:rPr>
          <w:rFonts w:ascii="Times New Roman" w:hAnsi="Times New Roman"/>
          <w:sz w:val="24"/>
          <w:szCs w:val="24"/>
        </w:rPr>
        <w:t xml:space="preserve">El incumplimiento de las obligaciones emergentes de la presente ley por parte de los efectores de salud, ya sea del sector estatal, privado o de seguridad social; equipo de salud y sus colaboradores, y de las instituciones en que éstos presten servicios,  será considerada falta grave sin perjuicio de la responsabilidad civil y / o penal que pudiera corresponder". </w:t>
      </w:r>
    </w:p>
    <w:p w:rsidR="00AF2FC7" w:rsidRPr="006876CA" w:rsidRDefault="00AF2FC7" w:rsidP="00AF2FC7">
      <w:pPr>
        <w:jc w:val="both"/>
        <w:rPr>
          <w:rFonts w:ascii="Times New Roman" w:hAnsi="Times New Roman"/>
          <w:b/>
          <w:sz w:val="24"/>
          <w:szCs w:val="24"/>
        </w:rPr>
      </w:pPr>
      <w:r w:rsidRPr="005955CB">
        <w:rPr>
          <w:rFonts w:ascii="Times New Roman" w:hAnsi="Times New Roman"/>
          <w:b/>
          <w:sz w:val="24"/>
          <w:szCs w:val="24"/>
        </w:rPr>
        <w:t xml:space="preserve">Artículo </w:t>
      </w:r>
      <w:r>
        <w:rPr>
          <w:rFonts w:ascii="Times New Roman" w:hAnsi="Times New Roman"/>
          <w:b/>
          <w:sz w:val="24"/>
          <w:szCs w:val="24"/>
        </w:rPr>
        <w:t xml:space="preserve">4°:  </w:t>
      </w:r>
      <w:r>
        <w:rPr>
          <w:rFonts w:ascii="Times New Roman" w:hAnsi="Times New Roman"/>
          <w:sz w:val="24"/>
          <w:szCs w:val="24"/>
        </w:rPr>
        <w:t xml:space="preserve">Comuníquese. </w:t>
      </w:r>
    </w:p>
    <w:p w:rsidR="00AF2FC7" w:rsidRDefault="00AF2FC7" w:rsidP="00AF2FC7">
      <w:pPr>
        <w:jc w:val="both"/>
        <w:rPr>
          <w:rFonts w:ascii="Times New Roman" w:hAnsi="Times New Roman"/>
          <w:sz w:val="24"/>
          <w:szCs w:val="24"/>
        </w:rPr>
      </w:pPr>
    </w:p>
    <w:p w:rsidR="00AF2FC7" w:rsidRDefault="00AF2FC7" w:rsidP="00AF2FC7">
      <w:pPr>
        <w:jc w:val="both"/>
        <w:rPr>
          <w:rFonts w:ascii="Times New Roman" w:hAnsi="Times New Roman"/>
          <w:sz w:val="24"/>
          <w:szCs w:val="24"/>
        </w:rPr>
      </w:pPr>
    </w:p>
    <w:p w:rsidR="00AF2FC7" w:rsidRDefault="00AF2FC7" w:rsidP="00AF2FC7">
      <w:pPr>
        <w:jc w:val="both"/>
        <w:rPr>
          <w:rFonts w:ascii="Times New Roman" w:hAnsi="Times New Roman"/>
          <w:sz w:val="24"/>
          <w:szCs w:val="24"/>
        </w:rPr>
      </w:pPr>
    </w:p>
    <w:p w:rsidR="00AF2FC7" w:rsidRDefault="00AF2FC7" w:rsidP="00AF2FC7">
      <w:pPr>
        <w:jc w:val="both"/>
        <w:rPr>
          <w:rFonts w:ascii="Times New Roman" w:hAnsi="Times New Roman"/>
          <w:sz w:val="24"/>
          <w:szCs w:val="24"/>
        </w:rPr>
      </w:pPr>
    </w:p>
    <w:p w:rsidR="00AF2FC7" w:rsidRDefault="00AF2FC7" w:rsidP="00AF2FC7">
      <w:pPr>
        <w:jc w:val="both"/>
        <w:rPr>
          <w:rFonts w:ascii="Times New Roman" w:hAnsi="Times New Roman"/>
          <w:sz w:val="24"/>
          <w:szCs w:val="24"/>
        </w:rPr>
      </w:pPr>
    </w:p>
    <w:p w:rsidR="00AF2FC7" w:rsidRDefault="00AF2FC7" w:rsidP="00AF2FC7">
      <w:pPr>
        <w:jc w:val="both"/>
        <w:rPr>
          <w:rFonts w:ascii="Times New Roman" w:hAnsi="Times New Roman"/>
          <w:sz w:val="24"/>
          <w:szCs w:val="24"/>
        </w:rPr>
      </w:pPr>
    </w:p>
    <w:p w:rsidR="00AF2FC7" w:rsidRDefault="00AF2FC7" w:rsidP="00AF2FC7">
      <w:pPr>
        <w:jc w:val="both"/>
        <w:rPr>
          <w:rFonts w:ascii="Times New Roman" w:hAnsi="Times New Roman"/>
          <w:sz w:val="24"/>
          <w:szCs w:val="24"/>
        </w:rPr>
      </w:pPr>
    </w:p>
    <w:p w:rsidR="00AF2FC7" w:rsidRDefault="00AF2FC7" w:rsidP="00AF2FC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FUNDAMENTOS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Señor Presidente: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El objeto de la presente iniciativa es realizar modificaciones a la </w:t>
      </w:r>
      <w:r w:rsidRPr="00B56E14">
        <w:rPr>
          <w:rFonts w:ascii="Times New Roman" w:hAnsi="Times New Roman"/>
          <w:b/>
          <w:sz w:val="24"/>
          <w:szCs w:val="24"/>
        </w:rPr>
        <w:t>ley 1.040</w:t>
      </w:r>
      <w:r>
        <w:rPr>
          <w:rFonts w:ascii="Times New Roman" w:hAnsi="Times New Roman"/>
          <w:sz w:val="24"/>
          <w:szCs w:val="24"/>
        </w:rPr>
        <w:t xml:space="preserve">  que </w:t>
      </w:r>
      <w:r w:rsidRPr="00573A2F">
        <w:rPr>
          <w:rFonts w:ascii="Times New Roman" w:hAnsi="Times New Roman"/>
          <w:sz w:val="24"/>
          <w:szCs w:val="24"/>
        </w:rPr>
        <w:t xml:space="preserve">establece </w:t>
      </w:r>
      <w:r>
        <w:rPr>
          <w:rFonts w:ascii="Times New Roman" w:hAnsi="Times New Roman"/>
          <w:sz w:val="24"/>
          <w:szCs w:val="24"/>
        </w:rPr>
        <w:t>el derecho de</w:t>
      </w:r>
      <w:r w:rsidRPr="00573A2F">
        <w:rPr>
          <w:rFonts w:ascii="Times New Roman" w:hAnsi="Times New Roman"/>
          <w:sz w:val="24"/>
          <w:szCs w:val="24"/>
        </w:rPr>
        <w:t xml:space="preserve"> toda mujer </w:t>
      </w:r>
      <w:r>
        <w:rPr>
          <w:rFonts w:ascii="Times New Roman" w:hAnsi="Times New Roman"/>
          <w:sz w:val="24"/>
          <w:szCs w:val="24"/>
        </w:rPr>
        <w:t>a estar acompañada por la persona que ella designe</w:t>
      </w:r>
      <w:r w:rsidRPr="00573A2F">
        <w:rPr>
          <w:rFonts w:ascii="Times New Roman" w:hAnsi="Times New Roman"/>
          <w:sz w:val="24"/>
          <w:szCs w:val="24"/>
        </w:rPr>
        <w:t xml:space="preserve"> en el transcurso del trabajo de parto y al momento del nacimiento, como así también durante la</w:t>
      </w:r>
      <w:r>
        <w:rPr>
          <w:rFonts w:ascii="Times New Roman" w:hAnsi="Times New Roman"/>
          <w:sz w:val="24"/>
          <w:szCs w:val="24"/>
        </w:rPr>
        <w:t xml:space="preserve"> internación. Esta norma - que se encuentra vigente en la Ciudad de Buenos Aires desde julio de 2002, es una derivación de la manda constitucional establecida en los </w:t>
      </w:r>
      <w:r w:rsidRPr="00B56E14">
        <w:rPr>
          <w:rFonts w:ascii="Times New Roman" w:hAnsi="Times New Roman"/>
          <w:b/>
          <w:sz w:val="24"/>
          <w:szCs w:val="24"/>
        </w:rPr>
        <w:t>artículos 21 y 22 de la Ley Fundamental de la Ciudad</w:t>
      </w:r>
      <w:r>
        <w:rPr>
          <w:rFonts w:ascii="Times New Roman" w:hAnsi="Times New Roman"/>
          <w:sz w:val="24"/>
          <w:szCs w:val="24"/>
        </w:rPr>
        <w:t xml:space="preserve"> que determina que se garantiza el derecho a la salud integral y</w:t>
      </w:r>
      <w:r w:rsidRPr="00573A2F">
        <w:rPr>
          <w:rFonts w:ascii="Times New Roman" w:hAnsi="Times New Roman"/>
          <w:sz w:val="24"/>
          <w:szCs w:val="24"/>
        </w:rPr>
        <w:t xml:space="preserve"> la atención integral del embarazo, parto, puerperio y de la niñez hasta el primer año de vida</w:t>
      </w:r>
      <w:r>
        <w:rPr>
          <w:rFonts w:ascii="Times New Roman" w:hAnsi="Times New Roman"/>
          <w:sz w:val="24"/>
          <w:szCs w:val="24"/>
        </w:rPr>
        <w:t>.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En este marco, vengo a proponer modificaciones a los fines de asegurar el cumplimiento del derecho estipulado en la </w:t>
      </w:r>
      <w:r w:rsidRPr="008E0F16">
        <w:rPr>
          <w:rFonts w:ascii="Times New Roman" w:hAnsi="Times New Roman"/>
          <w:b/>
          <w:sz w:val="24"/>
          <w:szCs w:val="24"/>
        </w:rPr>
        <w:t>ley 1.040</w:t>
      </w:r>
      <w:r>
        <w:rPr>
          <w:rFonts w:ascii="Times New Roman" w:hAnsi="Times New Roman"/>
          <w:sz w:val="24"/>
          <w:szCs w:val="24"/>
        </w:rPr>
        <w:t xml:space="preserve"> y de profundizar las obligaciones del Estado y de los sectores del sistema de salud con ese objeto.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En primer término, propongo modificar el </w:t>
      </w:r>
      <w:r w:rsidRPr="00227B6E">
        <w:rPr>
          <w:rFonts w:ascii="Times New Roman" w:hAnsi="Times New Roman"/>
          <w:b/>
          <w:sz w:val="24"/>
          <w:szCs w:val="24"/>
        </w:rPr>
        <w:t>artículo 3 de la ley 1.040</w:t>
      </w:r>
      <w:r>
        <w:rPr>
          <w:rFonts w:ascii="Times New Roman" w:hAnsi="Times New Roman"/>
          <w:sz w:val="24"/>
          <w:szCs w:val="24"/>
        </w:rPr>
        <w:t xml:space="preserve"> a los fines de determinar que la obligación de establecer las medidas que sean necesarias para capacitar al personal profesional y no profesional, adecuar los recursos físicos y la estructura organizativa a las modalidad establecida en la norma, se extienda a todos los efectores del sistema de salud, ya sea el sector estatal, el privado y el de la seguridad social. Cabe recordar que la normativa vigente determina que la obligación de capacitar y adaptar la estructura organizativa es sólo para los efectores del sector público.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 modificación que vengo a proponer busca ampliar el derecho establecido en la ley y tiene como fundamento la existencia de diversas prescripciones que le otorgan al Estado potestades sobre todos los sectores del sistema de salud. De esta manera, el </w:t>
      </w:r>
      <w:r w:rsidRPr="004E2F88">
        <w:rPr>
          <w:rFonts w:ascii="Times New Roman" w:hAnsi="Times New Roman"/>
          <w:b/>
          <w:sz w:val="24"/>
          <w:szCs w:val="24"/>
        </w:rPr>
        <w:t>artículo 21 de la Constitución de la Ciudad de Buenos Aires</w:t>
      </w:r>
      <w:r>
        <w:rPr>
          <w:rFonts w:ascii="Times New Roman" w:hAnsi="Times New Roman"/>
          <w:sz w:val="24"/>
          <w:szCs w:val="24"/>
        </w:rPr>
        <w:t xml:space="preserve"> establece la obligación de la Ciudad de conducir, controlar y regular todos los sectores del sistema de salud y de establecer políticas de articulación y complementación con el sector privado y los organismos de la seguridad social.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Por su parte, la </w:t>
      </w:r>
      <w:r w:rsidRPr="0006651F">
        <w:rPr>
          <w:rFonts w:ascii="Times New Roman" w:hAnsi="Times New Roman"/>
          <w:b/>
          <w:sz w:val="24"/>
          <w:szCs w:val="24"/>
        </w:rPr>
        <w:t>ley 153</w:t>
      </w:r>
      <w:r>
        <w:rPr>
          <w:rFonts w:ascii="Times New Roman" w:hAnsi="Times New Roman"/>
          <w:sz w:val="24"/>
          <w:szCs w:val="24"/>
        </w:rPr>
        <w:t xml:space="preserve"> - Ley Básica de Salud de la Ciudad de Buenos Aires - determina en su </w:t>
      </w:r>
      <w:r w:rsidRPr="00594DCE">
        <w:rPr>
          <w:rFonts w:ascii="Times New Roman" w:hAnsi="Times New Roman"/>
          <w:b/>
          <w:sz w:val="24"/>
          <w:szCs w:val="24"/>
        </w:rPr>
        <w:t>artículo 5</w:t>
      </w:r>
      <w:r>
        <w:rPr>
          <w:rFonts w:ascii="Times New Roman" w:hAnsi="Times New Roman"/>
          <w:sz w:val="24"/>
          <w:szCs w:val="24"/>
        </w:rPr>
        <w:t xml:space="preserve"> que el Gobierno de la Ciudad debe garantizar el derecho a la salud en el subsector estatal, y verificar su cumplimiento en la seguridad social y el subsector privado. En el mismo sentido, el </w:t>
      </w:r>
      <w:r w:rsidRPr="0020396C">
        <w:rPr>
          <w:rFonts w:ascii="Times New Roman" w:hAnsi="Times New Roman"/>
          <w:b/>
          <w:sz w:val="24"/>
          <w:szCs w:val="24"/>
        </w:rPr>
        <w:t>artículo 12</w:t>
      </w:r>
      <w:r>
        <w:rPr>
          <w:rFonts w:ascii="Times New Roman" w:hAnsi="Times New Roman"/>
          <w:sz w:val="24"/>
          <w:szCs w:val="24"/>
        </w:rPr>
        <w:t xml:space="preserve"> de esta norma también </w:t>
      </w:r>
      <w:r>
        <w:rPr>
          <w:rFonts w:ascii="Times New Roman" w:hAnsi="Times New Roman"/>
          <w:sz w:val="24"/>
          <w:szCs w:val="24"/>
        </w:rPr>
        <w:lastRenderedPageBreak/>
        <w:t xml:space="preserve">establece la obligación del Estado de promover la capacitación permanente de todo el personal de los tres subsectores.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Por último en lo que respecta a este punto, los </w:t>
      </w:r>
      <w:r w:rsidRPr="00FA4A97">
        <w:rPr>
          <w:rFonts w:ascii="Times New Roman" w:hAnsi="Times New Roman"/>
          <w:b/>
          <w:sz w:val="24"/>
          <w:szCs w:val="24"/>
        </w:rPr>
        <w:t>artículos 42 y 44 de la ley 153</w:t>
      </w:r>
      <w:r>
        <w:rPr>
          <w:rFonts w:ascii="Times New Roman" w:hAnsi="Times New Roman"/>
          <w:sz w:val="24"/>
          <w:szCs w:val="24"/>
        </w:rPr>
        <w:t xml:space="preserve"> prescribe la obligación del estado de fiscalizar la calidad de atención que se brinda en los establecimientos del subsector privado y de la seguridad social, respectivamente.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0055">
        <w:rPr>
          <w:rFonts w:ascii="Times New Roman" w:hAnsi="Times New Roman"/>
          <w:sz w:val="24"/>
          <w:szCs w:val="24"/>
        </w:rPr>
        <w:t xml:space="preserve">También </w:t>
      </w:r>
      <w:r>
        <w:rPr>
          <w:rFonts w:ascii="Times New Roman" w:hAnsi="Times New Roman"/>
          <w:sz w:val="24"/>
          <w:szCs w:val="24"/>
        </w:rPr>
        <w:t xml:space="preserve">se propone la inclusión del </w:t>
      </w:r>
      <w:r w:rsidRPr="00CE4032">
        <w:rPr>
          <w:rFonts w:ascii="Times New Roman" w:hAnsi="Times New Roman"/>
          <w:b/>
          <w:sz w:val="24"/>
          <w:szCs w:val="24"/>
        </w:rPr>
        <w:t>artículo 4</w:t>
      </w:r>
      <w:r>
        <w:rPr>
          <w:rFonts w:ascii="Times New Roman" w:hAnsi="Times New Roman"/>
          <w:sz w:val="24"/>
          <w:szCs w:val="24"/>
        </w:rPr>
        <w:t xml:space="preserve"> en el que se instituye que el Ministerio de Salud debe impulsar campañas para difundir el contenido de la ley, ya sea mediante los medios de comunicación como a través de la provisión de difusión gráfica en los efectores del sistema, a los que se obliga a exhibirlo en un lugar visible en los sitios de atención al público. Esta propuesta deriva de lo preceptuado por el </w:t>
      </w:r>
      <w:r w:rsidRPr="00D24A0D">
        <w:rPr>
          <w:rFonts w:ascii="Times New Roman" w:hAnsi="Times New Roman"/>
          <w:b/>
          <w:sz w:val="24"/>
          <w:szCs w:val="24"/>
        </w:rPr>
        <w:t>artículo7 de la ley 153</w:t>
      </w:r>
      <w:r>
        <w:rPr>
          <w:rFonts w:ascii="Times New Roman" w:hAnsi="Times New Roman"/>
          <w:sz w:val="24"/>
          <w:szCs w:val="24"/>
        </w:rPr>
        <w:t xml:space="preserve"> que establece la obligación de los servicios de salud de informar a las personas de sus derechos y obligaciones.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Por último, y a los fines de asegurar el cumplimiento de la norma, también propongo agregar el </w:t>
      </w:r>
      <w:r w:rsidRPr="00BC6B64">
        <w:rPr>
          <w:rFonts w:ascii="Times New Roman" w:hAnsi="Times New Roman"/>
          <w:b/>
          <w:sz w:val="24"/>
          <w:szCs w:val="24"/>
        </w:rPr>
        <w:t xml:space="preserve">artículo 5 </w:t>
      </w:r>
      <w:r>
        <w:rPr>
          <w:rFonts w:ascii="Times New Roman" w:hAnsi="Times New Roman"/>
          <w:sz w:val="24"/>
          <w:szCs w:val="24"/>
        </w:rPr>
        <w:t xml:space="preserve">que dispone que el incumplimiento de las prescripciones de la norma por parte de los efectores de salud,  del equipo de salud y de las instituciones en donde presten servicios, debe ser considerado falta grave sin perjuicio de la responsabilidad civil y / o penal que puedan corresponder.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En este sentido, creo necesario recordar que en el Informe Final de Auditoría  N° 3.13.12 </w:t>
      </w:r>
      <w:r w:rsidRPr="0049274C">
        <w:rPr>
          <w:rFonts w:ascii="Times New Roman" w:hAnsi="Times New Roman"/>
          <w:b/>
          <w:sz w:val="24"/>
          <w:szCs w:val="24"/>
        </w:rPr>
        <w:t>"Salud Materno Infantil. Auditoría de Gestión"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7244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evalúa</w:t>
      </w:r>
      <w:r w:rsidRPr="00857244">
        <w:rPr>
          <w:rFonts w:ascii="Times New Roman" w:hAnsi="Times New Roman"/>
          <w:sz w:val="24"/>
          <w:szCs w:val="24"/>
        </w:rPr>
        <w:t xml:space="preserve"> la gestión de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244">
        <w:rPr>
          <w:rFonts w:ascii="Times New Roman" w:hAnsi="Times New Roman"/>
          <w:sz w:val="24"/>
          <w:szCs w:val="24"/>
        </w:rPr>
        <w:t>departamentos materno infantil de los Hospitales Penna,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244">
        <w:rPr>
          <w:rFonts w:ascii="Times New Roman" w:hAnsi="Times New Roman"/>
          <w:sz w:val="24"/>
          <w:szCs w:val="24"/>
        </w:rPr>
        <w:t>Argerich, Santojanni, Piñero y sus respectivas Áreas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244">
        <w:rPr>
          <w:rFonts w:ascii="Times New Roman" w:hAnsi="Times New Roman"/>
          <w:sz w:val="24"/>
          <w:szCs w:val="24"/>
        </w:rPr>
        <w:t>Prog</w:t>
      </w:r>
      <w:r>
        <w:rPr>
          <w:rFonts w:ascii="Times New Roman" w:hAnsi="Times New Roman"/>
          <w:sz w:val="24"/>
          <w:szCs w:val="24"/>
        </w:rPr>
        <w:t xml:space="preserve">ramáticas, durante el período 2012 se observó que </w:t>
      </w:r>
      <w:r w:rsidRPr="00857244">
        <w:rPr>
          <w:rFonts w:ascii="Times New Roman" w:hAnsi="Times New Roman"/>
          <w:i/>
          <w:sz w:val="24"/>
          <w:szCs w:val="24"/>
        </w:rPr>
        <w:t>"Las condiciones edilicias de los centros obstétricos imposibilitan el cumplimiento de la Ley 1040/03: “Derecho de la mujer a estar acompañada en el momento del parto y la internación”"</w:t>
      </w:r>
      <w:r w:rsidRPr="00D24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Considero que esta coyuntura hace indispensable realizar las modificaciones necesarias con objeto de asegurar el efectivo cumplimiento de la ley 1.040, extendiendo la capacitación a los trabajadores de todos los sectores, difundiendo su existencia a los fines de poder reclamar en los casos en los que se vulnere el derecho, y estableciendo sanciones en los casos de incumplimiento.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Para concluir, es preciso destacar que para elaborar esta iniciativa se tomaron prescripciones incluidas en normativa vigente en las provincias de Mendoza, Neuquén y Santa Fé. </w:t>
      </w: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FC7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Por las razones expuestas, es que solicito a los Señores Legisladores que acompañen con su firma el presente Proyecto de Ley.    </w:t>
      </w:r>
    </w:p>
    <w:p w:rsidR="00AF2FC7" w:rsidRPr="00573A2F" w:rsidRDefault="00AF2FC7" w:rsidP="00AF2F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2FC7" w:rsidRPr="00573A2F" w:rsidRDefault="00AF2FC7" w:rsidP="00AF2FC7">
      <w:pPr>
        <w:jc w:val="both"/>
        <w:rPr>
          <w:rFonts w:ascii="Times New Roman" w:hAnsi="Times New Roman"/>
          <w:sz w:val="24"/>
          <w:szCs w:val="24"/>
        </w:rPr>
      </w:pPr>
    </w:p>
    <w:p w:rsidR="00AF6352" w:rsidRPr="00AF2FC7" w:rsidRDefault="00AF6352" w:rsidP="00081FFF">
      <w:pPr>
        <w:rPr>
          <w:sz w:val="24"/>
        </w:rPr>
      </w:pPr>
    </w:p>
    <w:sectPr w:rsidR="00AF6352" w:rsidRPr="00AF2FC7" w:rsidSect="00B85EE2">
      <w:headerReference w:type="default" r:id="rId6"/>
      <w:footerReference w:type="default" r:id="rId7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09" w:rsidRDefault="00C03609">
      <w:pPr>
        <w:spacing w:after="0" w:line="240" w:lineRule="auto"/>
      </w:pPr>
      <w:r>
        <w:separator/>
      </w:r>
    </w:p>
  </w:endnote>
  <w:endnote w:type="continuationSeparator" w:id="1">
    <w:p w:rsidR="00C03609" w:rsidRDefault="00C0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AF2FC7" w:rsidRDefault="00601A75">
    <w:pPr>
      <w:pStyle w:val="Piedepgina"/>
      <w:rPr>
        <w:color w:val="333333"/>
        <w:sz w:val="20"/>
      </w:rPr>
    </w:pPr>
    <w:bookmarkStart w:id="0" w:name="Proyecto"/>
    <w:bookmarkEnd w:id="0"/>
  </w:p>
  <w:p w:rsidR="00601A75" w:rsidRPr="00AF2FC7" w:rsidRDefault="00601A75">
    <w:pPr>
      <w:pStyle w:val="Piedepgina"/>
      <w:rPr>
        <w:color w:val="333333"/>
        <w:sz w:val="20"/>
      </w:rPr>
    </w:pPr>
    <w:r w:rsidRPr="00AF2FC7">
      <w:rPr>
        <w:color w:val="333333"/>
        <w:sz w:val="20"/>
      </w:rPr>
      <w:t xml:space="preserve">Último cambio: </w:t>
    </w:r>
    <w:fldSimple w:instr=" SAVEDATE  \* MERGEFORMAT ">
      <w:r w:rsidR="00B10CCD" w:rsidRPr="00B10CCD">
        <w:rPr>
          <w:noProof/>
          <w:color w:val="333333"/>
          <w:sz w:val="20"/>
        </w:rPr>
        <w:t>13/07/2016 10:09:00</w:t>
      </w:r>
    </w:fldSimple>
    <w:r w:rsidRPr="00AF2FC7">
      <w:rPr>
        <w:color w:val="333333"/>
        <w:sz w:val="20"/>
      </w:rPr>
      <w:t xml:space="preserve">  -  Cantidad de caracteres: </w:t>
    </w:r>
    <w:fldSimple w:instr=" NUMCHARS  \* MERGEFORMAT ">
      <w:r w:rsidR="00AF2FC7">
        <w:rPr>
          <w:noProof/>
          <w:color w:val="333333"/>
          <w:sz w:val="20"/>
        </w:rPr>
        <w:t>5278</w:t>
      </w:r>
    </w:fldSimple>
    <w:r w:rsidRPr="00AF2FC7">
      <w:rPr>
        <w:color w:val="333333"/>
        <w:sz w:val="20"/>
      </w:rPr>
      <w:t xml:space="preserve"> - Cantidad de palabras: </w:t>
    </w:r>
    <w:fldSimple w:instr=" NUMWORDS  \* MERGEFORMAT ">
      <w:r w:rsidR="00AF2FC7">
        <w:rPr>
          <w:noProof/>
          <w:color w:val="333333"/>
          <w:sz w:val="20"/>
        </w:rPr>
        <w:t>1052</w:t>
      </w:r>
    </w:fldSimple>
  </w:p>
  <w:p w:rsidR="00601A75" w:rsidRPr="00AF2FC7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AF2FC7">
      <w:rPr>
        <w:color w:val="333333"/>
        <w:sz w:val="20"/>
      </w:rPr>
      <w:tab/>
      <w:t>Pág.</w:t>
    </w:r>
    <w:r w:rsidRPr="00AF2FC7">
      <w:rPr>
        <w:color w:val="333333"/>
      </w:rPr>
      <w:t xml:space="preserve"> </w:t>
    </w:r>
    <w:r w:rsidR="004C20BB" w:rsidRPr="00AF2FC7">
      <w:rPr>
        <w:rStyle w:val="Nmerodepgina"/>
        <w:color w:val="333333"/>
      </w:rPr>
      <w:fldChar w:fldCharType="begin"/>
    </w:r>
    <w:r w:rsidRPr="00AF2FC7">
      <w:rPr>
        <w:rStyle w:val="Nmerodepgina"/>
        <w:color w:val="333333"/>
      </w:rPr>
      <w:instrText xml:space="preserve"> PAGE </w:instrText>
    </w:r>
    <w:r w:rsidR="004C20BB" w:rsidRPr="00AF2FC7">
      <w:rPr>
        <w:rStyle w:val="Nmerodepgina"/>
        <w:color w:val="333333"/>
      </w:rPr>
      <w:fldChar w:fldCharType="separate"/>
    </w:r>
    <w:r w:rsidR="00B10CCD">
      <w:rPr>
        <w:rStyle w:val="Nmerodepgina"/>
        <w:noProof/>
        <w:color w:val="333333"/>
      </w:rPr>
      <w:t>1</w:t>
    </w:r>
    <w:r w:rsidR="004C20BB" w:rsidRPr="00AF2FC7">
      <w:rPr>
        <w:rStyle w:val="Nmerodepgina"/>
        <w:color w:val="333333"/>
      </w:rPr>
      <w:fldChar w:fldCharType="end"/>
    </w:r>
    <w:r w:rsidRPr="00AF2FC7">
      <w:rPr>
        <w:rStyle w:val="Nmerodepgina"/>
        <w:color w:val="333333"/>
      </w:rPr>
      <w:t>/</w:t>
    </w:r>
    <w:fldSimple w:instr=" NUMPAGES  \* MERGEFORMAT ">
      <w:r w:rsidR="00B10CCD" w:rsidRPr="00B10CCD">
        <w:rPr>
          <w:rStyle w:val="Nmerodepgina"/>
          <w:noProof/>
          <w:color w:val="333333"/>
        </w:rPr>
        <w:t>4</w:t>
      </w:r>
    </w:fldSimple>
    <w:r w:rsidRPr="00AF2FC7">
      <w:rPr>
        <w:rStyle w:val="Nmerodepgina"/>
        <w:color w:val="333333"/>
      </w:rPr>
      <w:t xml:space="preserve"> </w:t>
    </w:r>
  </w:p>
  <w:p w:rsidR="00601A75" w:rsidRPr="00AF2FC7" w:rsidRDefault="00601A75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09" w:rsidRDefault="00C03609">
      <w:pPr>
        <w:spacing w:after="0" w:line="240" w:lineRule="auto"/>
      </w:pPr>
      <w:r>
        <w:separator/>
      </w:r>
    </w:p>
  </w:footnote>
  <w:footnote w:type="continuationSeparator" w:id="1">
    <w:p w:rsidR="00C03609" w:rsidRDefault="00C0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AF2FC7" w:rsidRDefault="00AF2FC7" w:rsidP="00AF2FC7">
    <w:pPr>
      <w:tabs>
        <w:tab w:val="center" w:pos="4476"/>
      </w:tabs>
    </w:pPr>
    <w:r>
      <w:tab/>
    </w:r>
    <w:r>
      <w:tab/>
    </w:r>
    <w:r>
      <w:br/>
    </w:r>
    <w:r>
      <w:br/>
    </w:r>
    <w:hyperlink r:id="rId1" w:history="1">
      <w:r w:rsidR="004C20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35pt;height:63.2pt">
            <v:imagedata r:id="rId2" o:title="logo legislatura nuevo"/>
          </v:shape>
        </w:pict>
      </w:r>
    </w:hyperlink>
  </w:p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0BB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C20BB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4536"/>
    <w:rsid w:val="008C4AC3"/>
    <w:rsid w:val="00906685"/>
    <w:rsid w:val="00910E0F"/>
    <w:rsid w:val="0091690E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2FC7"/>
    <w:rsid w:val="00AF5760"/>
    <w:rsid w:val="00AF6352"/>
    <w:rsid w:val="00B05649"/>
    <w:rsid w:val="00B10CCD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03609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F0D22"/>
    <w:rsid w:val="00F13C69"/>
    <w:rsid w:val="00F41DF6"/>
    <w:rsid w:val="00F52245"/>
    <w:rsid w:val="00F60308"/>
    <w:rsid w:val="00F640D0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C7"/>
    <w:pPr>
      <w:spacing w:after="200" w:line="330" w:lineRule="atLeast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4C20BB"/>
    <w:pPr>
      <w:spacing w:after="0" w:line="240" w:lineRule="auto"/>
      <w:ind w:left="3686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rsid w:val="004C20BB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Piedepgina">
    <w:name w:val="footer"/>
    <w:basedOn w:val="Normal"/>
    <w:rsid w:val="004C20BB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4C2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1</TotalTime>
  <Pages>4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paolivetolago</dc:creator>
  <cp:lastModifiedBy>livillamonte</cp:lastModifiedBy>
  <cp:revision>2</cp:revision>
  <cp:lastPrinted>2016-07-13T13:09:00Z</cp:lastPrinted>
  <dcterms:created xsi:type="dcterms:W3CDTF">2016-07-25T17:27:00Z</dcterms:created>
  <dcterms:modified xsi:type="dcterms:W3CDTF">2016-07-25T17:27:00Z</dcterms:modified>
</cp:coreProperties>
</file>